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585D" w14:textId="762D8887" w:rsidR="00005984" w:rsidRDefault="00005984" w:rsidP="00005984">
      <w:pPr>
        <w:jc w:val="right"/>
      </w:pPr>
      <w:r>
        <w:t xml:space="preserve">October </w:t>
      </w:r>
      <w:r w:rsidR="00795E43">
        <w:t>3</w:t>
      </w:r>
      <w:r>
        <w:t>, 2018</w:t>
      </w:r>
    </w:p>
    <w:p w14:paraId="5D1F2A25" w14:textId="77777777" w:rsidR="00005984" w:rsidRDefault="00005984" w:rsidP="00005984">
      <w:pPr>
        <w:jc w:val="right"/>
      </w:pPr>
    </w:p>
    <w:p w14:paraId="6154813F" w14:textId="48ABECE1" w:rsidR="00E1300E" w:rsidRDefault="00005984" w:rsidP="00005984">
      <w:pPr>
        <w:jc w:val="center"/>
      </w:pPr>
      <w:r>
        <w:t>Week Six</w:t>
      </w:r>
      <w:r w:rsidR="00795E43">
        <w:t>—Modality</w:t>
      </w:r>
    </w:p>
    <w:p w14:paraId="21EA48B6" w14:textId="33F42AF6" w:rsidR="00005984" w:rsidRDefault="00005984" w:rsidP="00005984">
      <w:pPr>
        <w:jc w:val="center"/>
      </w:pPr>
    </w:p>
    <w:p w14:paraId="3B473812" w14:textId="55DB0BF8" w:rsidR="001119E9" w:rsidRPr="008644E5" w:rsidRDefault="001119E9" w:rsidP="001119E9">
      <w:pPr>
        <w:rPr>
          <w:rFonts w:cs="Times New Roman"/>
          <w:sz w:val="22"/>
        </w:rPr>
      </w:pPr>
      <w:r w:rsidRPr="008644E5">
        <w:rPr>
          <w:rFonts w:cs="Times New Roman"/>
          <w:sz w:val="22"/>
        </w:rPr>
        <w:t xml:space="preserve">In an autobiographical sketch, Sellars tells us that he was to begin with concerned to understand the sort of content expressed by concepts of the “logical, causal, and deontological modalities.”  (Here only what he calls the “causal” modalities are at issue.)  His big idea, he tells us, was that </w:t>
      </w:r>
    </w:p>
    <w:p w14:paraId="78DAB8FF" w14:textId="702A83AD" w:rsidR="001119E9" w:rsidRPr="008644E5" w:rsidRDefault="00167058" w:rsidP="00167058">
      <w:pPr>
        <w:ind w:right="720"/>
        <w:rPr>
          <w:rFonts w:cs="Times New Roman"/>
          <w:sz w:val="22"/>
        </w:rPr>
      </w:pPr>
      <w:r w:rsidRPr="008644E5">
        <w:rPr>
          <w:rFonts w:cs="Times New Roman"/>
          <w:sz w:val="22"/>
        </w:rPr>
        <w:t>“</w:t>
      </w:r>
      <w:r w:rsidR="001119E9" w:rsidRPr="008644E5">
        <w:rPr>
          <w:rFonts w:cs="Times New Roman"/>
          <w:sz w:val="22"/>
        </w:rPr>
        <w:t>…what was needed was a functional theory of concepts which would make their role in reasoning, rather than supposed origin in experience, their primary feature.</w:t>
      </w:r>
      <w:r w:rsidRPr="008644E5">
        <w:rPr>
          <w:rFonts w:cs="Times New Roman"/>
          <w:sz w:val="22"/>
        </w:rPr>
        <w:t>”</w:t>
      </w:r>
      <w:r w:rsidR="001119E9" w:rsidRPr="008644E5">
        <w:rPr>
          <w:rFonts w:cs="Times New Roman"/>
          <w:sz w:val="22"/>
        </w:rPr>
        <w:t xml:space="preserve"> </w:t>
      </w:r>
    </w:p>
    <w:p w14:paraId="363EE4AE" w14:textId="4F671404" w:rsidR="001119E9" w:rsidRPr="008644E5" w:rsidRDefault="001119E9" w:rsidP="001119E9">
      <w:pPr>
        <w:rPr>
          <w:rFonts w:cs="Times New Roman"/>
          <w:sz w:val="22"/>
        </w:rPr>
      </w:pPr>
      <w:r w:rsidRPr="008644E5">
        <w:rPr>
          <w:rFonts w:cs="Times New Roman"/>
          <w:sz w:val="22"/>
        </w:rPr>
        <w:t xml:space="preserve">In </w:t>
      </w:r>
      <w:r w:rsidRPr="008644E5">
        <w:rPr>
          <w:rFonts w:cs="Times New Roman"/>
          <w:i/>
          <w:iCs/>
          <w:sz w:val="22"/>
        </w:rPr>
        <w:t>Action, Knowledge, and Reality</w:t>
      </w:r>
      <w:r w:rsidRPr="008644E5">
        <w:rPr>
          <w:rFonts w:cs="Times New Roman"/>
          <w:sz w:val="22"/>
        </w:rPr>
        <w:t>, H. N. Castaneda (ed.) [Indianapolis, Bobbs-Merrill, 1975] p 285.</w:t>
      </w:r>
    </w:p>
    <w:p w14:paraId="25D7AE65" w14:textId="77777777" w:rsidR="001119E9" w:rsidRPr="008644E5" w:rsidRDefault="001119E9" w:rsidP="001119E9">
      <w:pPr>
        <w:rPr>
          <w:rFonts w:cs="Times New Roman"/>
          <w:sz w:val="22"/>
        </w:rPr>
      </w:pPr>
      <w:r w:rsidRPr="008644E5">
        <w:rPr>
          <w:rFonts w:cs="Times New Roman"/>
          <w:sz w:val="22"/>
        </w:rPr>
        <w:t xml:space="preserve">The idea he got from Kant was that the “role in reasoning” distinctive of a key class of alethic modal concepts is to articulate the “role in reasoning” of ordinary empirical descriptive concepts.  </w:t>
      </w:r>
    </w:p>
    <w:p w14:paraId="6D3F9515" w14:textId="77777777" w:rsidR="001119E9" w:rsidRPr="008644E5" w:rsidRDefault="001119E9" w:rsidP="00005984">
      <w:pPr>
        <w:ind w:right="720"/>
        <w:rPr>
          <w:rFonts w:cs="Times New Roman"/>
          <w:sz w:val="22"/>
        </w:rPr>
      </w:pPr>
    </w:p>
    <w:p w14:paraId="4EB421A4" w14:textId="5F26C424" w:rsidR="00374AF3" w:rsidRPr="008644E5" w:rsidRDefault="00374AF3" w:rsidP="00005984">
      <w:pPr>
        <w:ind w:right="720"/>
        <w:rPr>
          <w:rFonts w:cs="Times New Roman"/>
          <w:sz w:val="22"/>
        </w:rPr>
      </w:pPr>
      <w:r w:rsidRPr="008644E5">
        <w:rPr>
          <w:rFonts w:cs="Times New Roman"/>
          <w:sz w:val="22"/>
        </w:rPr>
        <w:t>Contra descriptivism:</w:t>
      </w:r>
    </w:p>
    <w:p w14:paraId="66243212" w14:textId="753684E5" w:rsidR="00005984" w:rsidRPr="008644E5" w:rsidRDefault="003D4F36" w:rsidP="00005984">
      <w:pPr>
        <w:ind w:right="720"/>
        <w:rPr>
          <w:rFonts w:cs="Times New Roman"/>
          <w:sz w:val="22"/>
        </w:rPr>
      </w:pPr>
      <w:r>
        <w:rPr>
          <w:rFonts w:cs="Times New Roman"/>
          <w:sz w:val="22"/>
        </w:rPr>
        <w:t>“</w:t>
      </w:r>
      <w:r w:rsidR="00005984" w:rsidRPr="008644E5">
        <w:rPr>
          <w:rFonts w:cs="Times New Roman"/>
          <w:sz w:val="22"/>
        </w:rPr>
        <w:t xml:space="preserve">[O]nce the tautology ‘The world is described by descriptive concepts’ is freed from the idea that the business of all non-logical concepts is to describe, the way is clear to an </w:t>
      </w:r>
      <w:r w:rsidR="00005984" w:rsidRPr="008644E5">
        <w:rPr>
          <w:rFonts w:cs="Times New Roman"/>
          <w:i/>
          <w:sz w:val="22"/>
        </w:rPr>
        <w:t>ungrudging</w:t>
      </w:r>
      <w:r w:rsidR="00005984" w:rsidRPr="008644E5">
        <w:rPr>
          <w:rFonts w:cs="Times New Roman"/>
          <w:sz w:val="22"/>
        </w:rPr>
        <w:t xml:space="preserve"> recognition that many expressions which empiricists have relegated to second-class citizenship in discourse are not </w:t>
      </w:r>
      <w:r w:rsidR="00005984" w:rsidRPr="008644E5">
        <w:rPr>
          <w:rFonts w:cs="Times New Roman"/>
          <w:i/>
          <w:sz w:val="22"/>
        </w:rPr>
        <w:t>inferior</w:t>
      </w:r>
      <w:r w:rsidR="00005984" w:rsidRPr="008644E5">
        <w:rPr>
          <w:rFonts w:cs="Times New Roman"/>
          <w:sz w:val="22"/>
        </w:rPr>
        <w:t xml:space="preserve">, just </w:t>
      </w:r>
      <w:r w:rsidR="00005984" w:rsidRPr="008644E5">
        <w:rPr>
          <w:rFonts w:cs="Times New Roman"/>
          <w:i/>
          <w:sz w:val="22"/>
        </w:rPr>
        <w:t>different</w:t>
      </w:r>
      <w:r w:rsidR="00005984" w:rsidRPr="008644E5">
        <w:rPr>
          <w:rFonts w:cs="Times New Roman"/>
          <w:sz w:val="22"/>
        </w:rPr>
        <w:t>.</w:t>
      </w:r>
      <w:r>
        <w:rPr>
          <w:rFonts w:cs="Times New Roman"/>
          <w:sz w:val="22"/>
        </w:rPr>
        <w:t>”</w:t>
      </w:r>
      <w:r w:rsidR="00005984" w:rsidRPr="008644E5">
        <w:rPr>
          <w:rFonts w:cs="Times New Roman"/>
          <w:sz w:val="22"/>
        </w:rPr>
        <w:t xml:space="preserve"> [</w:t>
      </w:r>
      <w:r w:rsidR="001F3CF2" w:rsidRPr="008644E5">
        <w:rPr>
          <w:rFonts w:cs="Times New Roman"/>
          <w:sz w:val="22"/>
        </w:rPr>
        <w:t xml:space="preserve">Sellars </w:t>
      </w:r>
      <w:r w:rsidR="00374AF3" w:rsidRPr="008644E5">
        <w:rPr>
          <w:rFonts w:cs="Times New Roman"/>
          <w:sz w:val="22"/>
        </w:rPr>
        <w:t>“Counterfactuals, Dispositions, and the Causal Modalities” (</w:t>
      </w:r>
      <w:r w:rsidR="00005984" w:rsidRPr="008644E5">
        <w:rPr>
          <w:rFonts w:cs="Times New Roman"/>
          <w:i/>
          <w:sz w:val="22"/>
        </w:rPr>
        <w:t>CDCM</w:t>
      </w:r>
      <w:r w:rsidR="00374AF3" w:rsidRPr="008644E5">
        <w:rPr>
          <w:rFonts w:cs="Times New Roman"/>
          <w:sz w:val="22"/>
        </w:rPr>
        <w:t>)</w:t>
      </w:r>
      <w:r w:rsidR="00005984" w:rsidRPr="008644E5">
        <w:rPr>
          <w:rFonts w:cs="Times New Roman"/>
          <w:sz w:val="22"/>
        </w:rPr>
        <w:t xml:space="preserve"> §79]</w:t>
      </w:r>
    </w:p>
    <w:p w14:paraId="424E1F45" w14:textId="4A1272C8" w:rsidR="00374AF3" w:rsidRPr="008644E5" w:rsidRDefault="00374AF3" w:rsidP="001F3CF2">
      <w:pPr>
        <w:pStyle w:val="Quotation"/>
        <w:spacing w:line="276" w:lineRule="auto"/>
        <w:ind w:left="0"/>
        <w:rPr>
          <w:sz w:val="22"/>
          <w:szCs w:val="22"/>
        </w:rPr>
      </w:pPr>
    </w:p>
    <w:p w14:paraId="40CA3EE5" w14:textId="449F5AC2" w:rsidR="00374AF3" w:rsidRPr="008644E5" w:rsidRDefault="00374AF3" w:rsidP="001F3CF2">
      <w:pPr>
        <w:pStyle w:val="Quotation"/>
        <w:spacing w:line="276" w:lineRule="auto"/>
        <w:ind w:left="0"/>
        <w:rPr>
          <w:sz w:val="22"/>
          <w:szCs w:val="22"/>
          <w:u w:val="single"/>
        </w:rPr>
      </w:pPr>
      <w:r w:rsidRPr="008644E5">
        <w:rPr>
          <w:sz w:val="22"/>
          <w:szCs w:val="22"/>
          <w:u w:val="single"/>
        </w:rPr>
        <w:t>Focal passage:</w:t>
      </w:r>
    </w:p>
    <w:p w14:paraId="306E8764" w14:textId="77CBCA0D" w:rsidR="001F3CF2" w:rsidRPr="008644E5" w:rsidRDefault="003D4F36" w:rsidP="001F3CF2">
      <w:pPr>
        <w:pStyle w:val="Quotation"/>
        <w:spacing w:line="276" w:lineRule="auto"/>
        <w:ind w:left="0"/>
        <w:rPr>
          <w:sz w:val="22"/>
          <w:szCs w:val="22"/>
        </w:rPr>
      </w:pPr>
      <w:r>
        <w:rPr>
          <w:sz w:val="22"/>
          <w:szCs w:val="22"/>
        </w:rPr>
        <w:t>“</w:t>
      </w:r>
      <w:r w:rsidR="001F3CF2" w:rsidRPr="008644E5">
        <w:rPr>
          <w:sz w:val="22"/>
          <w:szCs w:val="22"/>
        </w:rPr>
        <w:t xml:space="preserve">Although describing and explaining (predicting, retrodicting, understanding) are </w:t>
      </w:r>
      <w:r w:rsidR="001F3CF2" w:rsidRPr="008644E5">
        <w:rPr>
          <w:i/>
          <w:sz w:val="22"/>
          <w:szCs w:val="22"/>
        </w:rPr>
        <w:t>distinguishable</w:t>
      </w:r>
      <w:r w:rsidR="001F3CF2" w:rsidRPr="008644E5">
        <w:rPr>
          <w:sz w:val="22"/>
          <w:szCs w:val="22"/>
        </w:rPr>
        <w:t xml:space="preserve">, they are also, in an important sense, </w:t>
      </w:r>
      <w:r w:rsidR="001F3CF2" w:rsidRPr="008644E5">
        <w:rPr>
          <w:i/>
          <w:sz w:val="22"/>
          <w:szCs w:val="22"/>
        </w:rPr>
        <w:t>inseparable</w:t>
      </w:r>
      <w:r w:rsidR="001F3CF2" w:rsidRPr="008644E5">
        <w:rPr>
          <w:sz w:val="22"/>
          <w:szCs w:val="22"/>
        </w:rPr>
        <w:t>. It is only because the expressions in terms of which we describe objects</w:t>
      </w:r>
      <w:r w:rsidR="001E6E53">
        <w:rPr>
          <w:sz w:val="22"/>
          <w:szCs w:val="22"/>
        </w:rPr>
        <w:t>…</w:t>
      </w:r>
      <w:r w:rsidR="001F3CF2" w:rsidRPr="008644E5">
        <w:rPr>
          <w:sz w:val="22"/>
          <w:szCs w:val="22"/>
        </w:rPr>
        <w:t>locate these objects in a space of implications, that they describe at all, rather than merely label.  The descriptive and explanatory resources of language advance hand in hand.</w:t>
      </w:r>
      <w:r>
        <w:rPr>
          <w:sz w:val="22"/>
          <w:szCs w:val="22"/>
        </w:rPr>
        <w:t>”</w:t>
      </w:r>
      <w:r w:rsidR="001F3CF2" w:rsidRPr="008644E5">
        <w:rPr>
          <w:sz w:val="22"/>
          <w:szCs w:val="22"/>
        </w:rPr>
        <w:t xml:space="preserve"> [Sellars </w:t>
      </w:r>
      <w:r w:rsidR="001F3CF2" w:rsidRPr="008644E5">
        <w:rPr>
          <w:i/>
          <w:sz w:val="22"/>
          <w:szCs w:val="22"/>
        </w:rPr>
        <w:t>CDCM</w:t>
      </w:r>
      <w:r w:rsidR="001F3CF2" w:rsidRPr="008644E5">
        <w:rPr>
          <w:sz w:val="22"/>
          <w:szCs w:val="22"/>
        </w:rPr>
        <w:t xml:space="preserve"> §108]</w:t>
      </w:r>
    </w:p>
    <w:p w14:paraId="2F638C9E" w14:textId="0630CD1D" w:rsidR="00005984" w:rsidRPr="008644E5" w:rsidRDefault="00005984" w:rsidP="00005984">
      <w:pPr>
        <w:rPr>
          <w:rFonts w:cs="Times New Roman"/>
          <w:sz w:val="22"/>
        </w:rPr>
      </w:pPr>
    </w:p>
    <w:p w14:paraId="19397C52" w14:textId="101EAA67" w:rsidR="00374AF3" w:rsidRPr="008644E5" w:rsidRDefault="00374AF3" w:rsidP="00005984">
      <w:pPr>
        <w:rPr>
          <w:rFonts w:cs="Times New Roman"/>
          <w:sz w:val="22"/>
          <w:u w:val="single"/>
        </w:rPr>
      </w:pPr>
      <w:r w:rsidRPr="008644E5">
        <w:rPr>
          <w:rFonts w:cs="Times New Roman"/>
          <w:sz w:val="22"/>
          <w:u w:val="single"/>
        </w:rPr>
        <w:t>Argument:</w:t>
      </w:r>
    </w:p>
    <w:p w14:paraId="0677C8CF" w14:textId="77777777" w:rsidR="00374AF3" w:rsidRPr="008644E5" w:rsidRDefault="00374AF3" w:rsidP="00374AF3">
      <w:pPr>
        <w:rPr>
          <w:rFonts w:cs="Times New Roman"/>
          <w:sz w:val="22"/>
        </w:rPr>
      </w:pPr>
      <w:r w:rsidRPr="008644E5">
        <w:rPr>
          <w:rFonts w:cs="Times New Roman"/>
          <w:sz w:val="22"/>
        </w:rPr>
        <w:t xml:space="preserve">1.  “It is only because the expressions in terms of which we describe objects… locate these objects in a space of implications, that they describe at all, rather than merely label.” </w:t>
      </w:r>
    </w:p>
    <w:p w14:paraId="7D8B4B2D" w14:textId="0D043FB5" w:rsidR="00374AF3" w:rsidRPr="008644E5" w:rsidRDefault="00374AF3" w:rsidP="00374AF3">
      <w:pPr>
        <w:rPr>
          <w:rFonts w:cs="Times New Roman"/>
          <w:sz w:val="22"/>
        </w:rPr>
      </w:pPr>
      <w:r w:rsidRPr="008644E5">
        <w:rPr>
          <w:rFonts w:cs="Times New Roman"/>
          <w:sz w:val="22"/>
        </w:rPr>
        <w:t>This is weak inferentialism: no description without inferential articulation.  Descriptive concepts must stand to one another in relations of material implication and incompatibility.</w:t>
      </w:r>
    </w:p>
    <w:p w14:paraId="63D009D6" w14:textId="77777777" w:rsidR="00374AF3" w:rsidRPr="008644E5" w:rsidRDefault="00374AF3" w:rsidP="00374AF3">
      <w:pPr>
        <w:rPr>
          <w:rFonts w:cs="Times New Roman"/>
          <w:sz w:val="22"/>
        </w:rPr>
      </w:pPr>
      <w:r w:rsidRPr="008644E5">
        <w:rPr>
          <w:rFonts w:cs="Times New Roman"/>
          <w:sz w:val="22"/>
        </w:rPr>
        <w:t xml:space="preserve">2.  It is an essential feature of the inferential relations in which, according to claim (1), descriptive concepts must stand, that they can be appealed to in </w:t>
      </w:r>
      <w:r w:rsidRPr="008644E5">
        <w:rPr>
          <w:rFonts w:cs="Times New Roman"/>
          <w:i/>
          <w:iCs/>
          <w:sz w:val="22"/>
        </w:rPr>
        <w:t>explanations</w:t>
      </w:r>
      <w:r w:rsidRPr="008644E5">
        <w:rPr>
          <w:rFonts w:cs="Times New Roman"/>
          <w:sz w:val="22"/>
        </w:rPr>
        <w:t xml:space="preserve"> and </w:t>
      </w:r>
      <w:r w:rsidRPr="008644E5">
        <w:rPr>
          <w:rFonts w:cs="Times New Roman"/>
          <w:i/>
          <w:iCs/>
          <w:sz w:val="22"/>
        </w:rPr>
        <w:t>justifications</w:t>
      </w:r>
      <w:r w:rsidRPr="008644E5">
        <w:rPr>
          <w:rFonts w:cs="Times New Roman"/>
          <w:sz w:val="22"/>
        </w:rPr>
        <w:t xml:space="preserve"> of further descriptions.</w:t>
      </w:r>
    </w:p>
    <w:p w14:paraId="3F1646C3" w14:textId="26ECFDE6" w:rsidR="00374AF3" w:rsidRPr="008644E5" w:rsidRDefault="00374AF3" w:rsidP="00374AF3">
      <w:pPr>
        <w:pStyle w:val="Quotation"/>
        <w:spacing w:line="276" w:lineRule="auto"/>
        <w:ind w:left="0" w:right="0"/>
        <w:rPr>
          <w:sz w:val="22"/>
          <w:szCs w:val="22"/>
        </w:rPr>
      </w:pPr>
      <w:r w:rsidRPr="008644E5">
        <w:rPr>
          <w:sz w:val="22"/>
          <w:szCs w:val="22"/>
        </w:rPr>
        <w:t xml:space="preserve">3.  So:  “although describing and explaining (predicting, retrodicting, understanding) are </w:t>
      </w:r>
      <w:r w:rsidRPr="008644E5">
        <w:rPr>
          <w:i/>
          <w:iCs/>
          <w:sz w:val="22"/>
          <w:szCs w:val="22"/>
        </w:rPr>
        <w:t>distinguishable</w:t>
      </w:r>
      <w:r w:rsidRPr="008644E5">
        <w:rPr>
          <w:sz w:val="22"/>
          <w:szCs w:val="22"/>
        </w:rPr>
        <w:t xml:space="preserve">, they are also, in an important sense, </w:t>
      </w:r>
      <w:r w:rsidRPr="008644E5">
        <w:rPr>
          <w:i/>
          <w:iCs/>
          <w:sz w:val="22"/>
          <w:szCs w:val="22"/>
        </w:rPr>
        <w:t>inseparable</w:t>
      </w:r>
      <w:r w:rsidRPr="008644E5">
        <w:rPr>
          <w:sz w:val="22"/>
          <w:szCs w:val="22"/>
        </w:rPr>
        <w:t>… The descriptive and explanatory resources of language advance hand in hand….”</w:t>
      </w:r>
    </w:p>
    <w:p w14:paraId="3C468671" w14:textId="490592AC" w:rsidR="00CC36EF" w:rsidRPr="008644E5" w:rsidRDefault="00374AF3" w:rsidP="00374AF3">
      <w:pPr>
        <w:pStyle w:val="Quotation"/>
        <w:spacing w:line="276" w:lineRule="auto"/>
        <w:ind w:left="0" w:right="0"/>
        <w:rPr>
          <w:sz w:val="22"/>
          <w:szCs w:val="22"/>
        </w:rPr>
      </w:pPr>
      <w:r w:rsidRPr="008644E5">
        <w:rPr>
          <w:sz w:val="22"/>
          <w:szCs w:val="22"/>
        </w:rPr>
        <w:t xml:space="preserve">4.  </w:t>
      </w:r>
      <w:r w:rsidR="00CC36EF" w:rsidRPr="008644E5">
        <w:rPr>
          <w:sz w:val="22"/>
          <w:szCs w:val="22"/>
        </w:rPr>
        <w:t xml:space="preserve">Explanations and justifications require </w:t>
      </w:r>
      <w:r w:rsidR="00CC36EF" w:rsidRPr="008644E5">
        <w:rPr>
          <w:i/>
          <w:sz w:val="22"/>
          <w:szCs w:val="22"/>
        </w:rPr>
        <w:t>subjunctively robust</w:t>
      </w:r>
      <w:r w:rsidR="00CC36EF" w:rsidRPr="008644E5">
        <w:rPr>
          <w:sz w:val="22"/>
          <w:szCs w:val="22"/>
        </w:rPr>
        <w:t xml:space="preserve"> relations of consequence and incompatibility: ones that articulate what </w:t>
      </w:r>
      <w:r w:rsidR="00CC36EF" w:rsidRPr="008644E5">
        <w:rPr>
          <w:i/>
          <w:sz w:val="22"/>
          <w:szCs w:val="22"/>
        </w:rPr>
        <w:t>would happen if</w:t>
      </w:r>
      <w:r w:rsidR="00CC36EF" w:rsidRPr="008644E5">
        <w:rPr>
          <w:sz w:val="22"/>
          <w:szCs w:val="22"/>
        </w:rPr>
        <w:t xml:space="preserve"> and what </w:t>
      </w:r>
      <w:r w:rsidR="00CC36EF" w:rsidRPr="008644E5">
        <w:rPr>
          <w:i/>
          <w:sz w:val="22"/>
          <w:szCs w:val="22"/>
        </w:rPr>
        <w:t>could not</w:t>
      </w:r>
      <w:r w:rsidR="00CC36EF" w:rsidRPr="008644E5">
        <w:rPr>
          <w:sz w:val="22"/>
          <w:szCs w:val="22"/>
        </w:rPr>
        <w:t xml:space="preserve"> happen.  </w:t>
      </w:r>
    </w:p>
    <w:p w14:paraId="54A56F85" w14:textId="6FEEBEAD" w:rsidR="00374AF3" w:rsidRPr="008644E5" w:rsidRDefault="00CC36EF" w:rsidP="00374AF3">
      <w:pPr>
        <w:pStyle w:val="Quotation"/>
        <w:spacing w:line="276" w:lineRule="auto"/>
        <w:ind w:left="0" w:right="0"/>
        <w:rPr>
          <w:sz w:val="22"/>
          <w:szCs w:val="22"/>
        </w:rPr>
      </w:pPr>
      <w:r w:rsidRPr="008644E5">
        <w:rPr>
          <w:sz w:val="22"/>
          <w:szCs w:val="22"/>
        </w:rPr>
        <w:t xml:space="preserve">5.  </w:t>
      </w:r>
      <w:r w:rsidR="00374AF3" w:rsidRPr="008644E5">
        <w:rPr>
          <w:sz w:val="22"/>
          <w:szCs w:val="22"/>
        </w:rPr>
        <w:t>The expressive role distinctive of modal vocabulary is to make explicit these explanatory and justificatory relations</w:t>
      </w:r>
      <w:r w:rsidR="00167058" w:rsidRPr="008644E5">
        <w:rPr>
          <w:sz w:val="22"/>
          <w:szCs w:val="22"/>
        </w:rPr>
        <w:t>:</w:t>
      </w:r>
    </w:p>
    <w:p w14:paraId="658DDC40" w14:textId="1C73080F" w:rsidR="00167058" w:rsidRPr="008644E5" w:rsidRDefault="00167058" w:rsidP="00167058">
      <w:pPr>
        <w:ind w:right="720"/>
        <w:rPr>
          <w:rFonts w:cs="Times New Roman"/>
          <w:sz w:val="22"/>
        </w:rPr>
      </w:pPr>
      <w:r w:rsidRPr="008644E5">
        <w:rPr>
          <w:rFonts w:cs="Times New Roman"/>
          <w:sz w:val="22"/>
        </w:rPr>
        <w:t>“To make first hand use of these [modal] expressions is to be about the business of explaining a state of affairs, or justifying an assertion.” [CDCM § 80]</w:t>
      </w:r>
    </w:p>
    <w:p w14:paraId="5D2A1AE3" w14:textId="77777777" w:rsidR="00C03102" w:rsidRPr="008644E5" w:rsidRDefault="00C03102" w:rsidP="00AB1275">
      <w:pPr>
        <w:rPr>
          <w:rFonts w:cs="Times New Roman"/>
          <w:sz w:val="22"/>
        </w:rPr>
      </w:pPr>
      <w:r w:rsidRPr="008644E5">
        <w:rPr>
          <w:rFonts w:cs="Times New Roman"/>
          <w:sz w:val="22"/>
        </w:rPr>
        <w:lastRenderedPageBreak/>
        <w:t xml:space="preserve">What the modal vocabulary expresses is the element of </w:t>
      </w:r>
      <w:r w:rsidRPr="008644E5">
        <w:rPr>
          <w:rFonts w:cs="Times New Roman"/>
          <w:i/>
          <w:iCs/>
          <w:sz w:val="22"/>
        </w:rPr>
        <w:t>generality</w:t>
      </w:r>
      <w:r w:rsidRPr="008644E5">
        <w:rPr>
          <w:rFonts w:cs="Times New Roman"/>
          <w:sz w:val="22"/>
        </w:rPr>
        <w:t xml:space="preserve"> that Ryle had insisted was present in all endorsements of inferences:</w:t>
      </w:r>
    </w:p>
    <w:p w14:paraId="335655B3" w14:textId="20BF12A4" w:rsidR="00C03102" w:rsidRPr="003D4F36" w:rsidRDefault="00C03102" w:rsidP="00AB1275">
      <w:pPr>
        <w:pStyle w:val="Quote"/>
        <w:spacing w:line="276" w:lineRule="auto"/>
        <w:rPr>
          <w:sz w:val="20"/>
          <w:szCs w:val="20"/>
        </w:rPr>
      </w:pPr>
      <w:r w:rsidRPr="008644E5">
        <w:rPr>
          <w:sz w:val="22"/>
          <w:szCs w:val="22"/>
        </w:rPr>
        <w:t xml:space="preserve">…some kind of openness, variableness, or satisfiability characterizes all hypothetical statements alike, whether they are recognized “variable hypotheticals” like “For all </w:t>
      </w:r>
      <w:r w:rsidRPr="008644E5">
        <w:rPr>
          <w:i/>
          <w:iCs/>
          <w:sz w:val="22"/>
          <w:szCs w:val="22"/>
        </w:rPr>
        <w:t>x</w:t>
      </w:r>
      <w:r w:rsidRPr="008644E5">
        <w:rPr>
          <w:sz w:val="22"/>
          <w:szCs w:val="22"/>
        </w:rPr>
        <w:t xml:space="preserve">, if </w:t>
      </w:r>
      <w:r w:rsidRPr="008644E5">
        <w:rPr>
          <w:i/>
          <w:iCs/>
          <w:sz w:val="22"/>
          <w:szCs w:val="22"/>
        </w:rPr>
        <w:t>x</w:t>
      </w:r>
      <w:r w:rsidRPr="008644E5">
        <w:rPr>
          <w:sz w:val="22"/>
          <w:szCs w:val="22"/>
        </w:rPr>
        <w:t xml:space="preserve"> is a man, </w:t>
      </w:r>
      <w:r w:rsidRPr="008644E5">
        <w:rPr>
          <w:i/>
          <w:iCs/>
          <w:sz w:val="22"/>
          <w:szCs w:val="22"/>
        </w:rPr>
        <w:t>x</w:t>
      </w:r>
      <w:r w:rsidRPr="008644E5">
        <w:rPr>
          <w:sz w:val="22"/>
          <w:szCs w:val="22"/>
        </w:rPr>
        <w:t xml:space="preserve"> is mortal” or are highly determinate hypotheticals like “If today is Monday, tomorrow is Tuesday.</w:t>
      </w:r>
      <w:r w:rsidR="00AB1275" w:rsidRPr="008644E5">
        <w:rPr>
          <w:sz w:val="22"/>
          <w:szCs w:val="22"/>
        </w:rPr>
        <w:t xml:space="preserve"> </w:t>
      </w:r>
      <w:r w:rsidRPr="008644E5">
        <w:rPr>
          <w:sz w:val="22"/>
          <w:szCs w:val="22"/>
        </w:rPr>
        <w:t xml:space="preserve"> </w:t>
      </w:r>
      <w:r w:rsidRPr="003D4F36">
        <w:rPr>
          <w:sz w:val="20"/>
          <w:szCs w:val="20"/>
        </w:rPr>
        <w:t xml:space="preserve">[Gilbert Ryle “ ‘If’, ‘So’, and ‘Because’ ”, pp. 302-318 in Black, Max (ed.) </w:t>
      </w:r>
      <w:r w:rsidRPr="003D4F36">
        <w:rPr>
          <w:i/>
          <w:iCs/>
          <w:sz w:val="20"/>
          <w:szCs w:val="20"/>
        </w:rPr>
        <w:t>Philosophical Analysis</w:t>
      </w:r>
      <w:r w:rsidRPr="003D4F36">
        <w:rPr>
          <w:sz w:val="20"/>
          <w:szCs w:val="20"/>
        </w:rPr>
        <w:t xml:space="preserve"> [Prentice Hall, 1950], p. 311.]</w:t>
      </w:r>
    </w:p>
    <w:p w14:paraId="06D51766" w14:textId="122288B3" w:rsidR="00C03102" w:rsidRPr="008644E5" w:rsidRDefault="00C03102" w:rsidP="00AB1275">
      <w:pPr>
        <w:pStyle w:val="Quotation"/>
        <w:spacing w:line="276" w:lineRule="auto"/>
        <w:ind w:left="0" w:right="0"/>
        <w:rPr>
          <w:sz w:val="22"/>
          <w:szCs w:val="22"/>
        </w:rPr>
      </w:pPr>
      <w:r w:rsidRPr="008644E5">
        <w:rPr>
          <w:sz w:val="22"/>
          <w:szCs w:val="22"/>
        </w:rPr>
        <w:t>That element of generality would naturally be made explicit in this last example by applying a necessity operator to the conditional.</w:t>
      </w:r>
    </w:p>
    <w:p w14:paraId="543A0CF8" w14:textId="77777777" w:rsidR="0082369E" w:rsidRPr="008644E5" w:rsidRDefault="00C95DC6" w:rsidP="00374AF3">
      <w:pPr>
        <w:pStyle w:val="Quotation"/>
        <w:spacing w:line="276" w:lineRule="auto"/>
        <w:ind w:left="0" w:right="0"/>
        <w:rPr>
          <w:sz w:val="22"/>
          <w:szCs w:val="22"/>
        </w:rPr>
      </w:pPr>
      <w:r w:rsidRPr="008644E5">
        <w:rPr>
          <w:sz w:val="22"/>
          <w:szCs w:val="22"/>
        </w:rPr>
        <w:t xml:space="preserve">6.  (Not Sellars) Explanatory and justificatory relations are in general </w:t>
      </w:r>
      <w:r w:rsidRPr="008644E5">
        <w:rPr>
          <w:i/>
          <w:sz w:val="22"/>
          <w:szCs w:val="22"/>
        </w:rPr>
        <w:t>defeasible</w:t>
      </w:r>
      <w:r w:rsidRPr="008644E5">
        <w:rPr>
          <w:sz w:val="22"/>
          <w:szCs w:val="22"/>
        </w:rPr>
        <w:t xml:space="preserve">.  That is to say that the </w:t>
      </w:r>
      <w:r w:rsidR="0082369E" w:rsidRPr="008644E5">
        <w:rPr>
          <w:sz w:val="22"/>
          <w:szCs w:val="22"/>
        </w:rPr>
        <w:t xml:space="preserve">relations of material implication and incompatibility that articulate ordinary empirical descriptive (OED) vocabulary are </w:t>
      </w:r>
      <w:r w:rsidR="0082369E" w:rsidRPr="008644E5">
        <w:rPr>
          <w:i/>
          <w:sz w:val="22"/>
          <w:szCs w:val="22"/>
        </w:rPr>
        <w:t>nonmonotonic</w:t>
      </w:r>
      <w:r w:rsidR="0082369E" w:rsidRPr="008644E5">
        <w:rPr>
          <w:sz w:val="22"/>
          <w:szCs w:val="22"/>
        </w:rPr>
        <w:t xml:space="preserve">.  </w:t>
      </w:r>
    </w:p>
    <w:p w14:paraId="7359F572" w14:textId="52105F55" w:rsidR="00C03102" w:rsidRPr="008644E5" w:rsidRDefault="0082369E" w:rsidP="00374AF3">
      <w:pPr>
        <w:pStyle w:val="Quotation"/>
        <w:spacing w:line="276" w:lineRule="auto"/>
        <w:ind w:left="0" w:right="0"/>
        <w:rPr>
          <w:sz w:val="22"/>
          <w:szCs w:val="22"/>
        </w:rPr>
      </w:pPr>
      <w:r w:rsidRPr="008644E5">
        <w:rPr>
          <w:sz w:val="22"/>
          <w:szCs w:val="22"/>
        </w:rPr>
        <w:t xml:space="preserve">They are not made monotonic by </w:t>
      </w:r>
      <w:r w:rsidRPr="008644E5">
        <w:rPr>
          <w:i/>
          <w:sz w:val="22"/>
          <w:szCs w:val="22"/>
        </w:rPr>
        <w:t xml:space="preserve">ceteris paribus </w:t>
      </w:r>
      <w:r w:rsidRPr="008644E5">
        <w:rPr>
          <w:sz w:val="22"/>
          <w:szCs w:val="22"/>
        </w:rPr>
        <w:t>clauses, whose expressive function is rather to acknowledge explicitly the nonmonotonicity (defeasibility) of the implication relations being appealed to.</w:t>
      </w:r>
    </w:p>
    <w:p w14:paraId="540F931A" w14:textId="03935BA6" w:rsidR="0082369E" w:rsidRPr="008644E5" w:rsidRDefault="0082369E" w:rsidP="00374AF3">
      <w:pPr>
        <w:pStyle w:val="Quotation"/>
        <w:spacing w:line="276" w:lineRule="auto"/>
        <w:ind w:left="0" w:right="0"/>
        <w:rPr>
          <w:sz w:val="22"/>
          <w:szCs w:val="22"/>
        </w:rPr>
      </w:pPr>
      <w:r w:rsidRPr="008644E5">
        <w:rPr>
          <w:sz w:val="22"/>
          <w:szCs w:val="22"/>
        </w:rPr>
        <w:t xml:space="preserve">We should not expect to find exceptionless, universal </w:t>
      </w:r>
      <w:r w:rsidRPr="008644E5">
        <w:rPr>
          <w:i/>
          <w:sz w:val="22"/>
          <w:szCs w:val="22"/>
        </w:rPr>
        <w:t>laws</w:t>
      </w:r>
      <w:r w:rsidRPr="008644E5">
        <w:rPr>
          <w:sz w:val="22"/>
          <w:szCs w:val="22"/>
        </w:rPr>
        <w:t xml:space="preserve"> behind all cases of subjunctive robustness.</w:t>
      </w:r>
    </w:p>
    <w:p w14:paraId="59262688" w14:textId="7DE5A22D" w:rsidR="0082369E" w:rsidRPr="008644E5" w:rsidRDefault="0082369E" w:rsidP="00374AF3">
      <w:pPr>
        <w:pStyle w:val="Quotation"/>
        <w:spacing w:line="276" w:lineRule="auto"/>
        <w:ind w:left="0" w:right="0"/>
        <w:rPr>
          <w:sz w:val="22"/>
          <w:szCs w:val="22"/>
        </w:rPr>
      </w:pPr>
      <w:r w:rsidRPr="008644E5">
        <w:rPr>
          <w:sz w:val="22"/>
          <w:szCs w:val="22"/>
        </w:rPr>
        <w:t xml:space="preserve">The defeasibility=nonmonotonicity of these broadly inferential relations means they have associated with them non-empty (4 above), non-universal (need not be underwritten by laws) </w:t>
      </w:r>
      <w:r w:rsidRPr="008644E5">
        <w:rPr>
          <w:i/>
          <w:sz w:val="22"/>
          <w:szCs w:val="22"/>
        </w:rPr>
        <w:t>ranges of subjunctive robustness</w:t>
      </w:r>
      <w:r w:rsidRPr="008644E5">
        <w:rPr>
          <w:sz w:val="22"/>
          <w:szCs w:val="22"/>
        </w:rPr>
        <w:t>.</w:t>
      </w:r>
    </w:p>
    <w:p w14:paraId="6FB80881" w14:textId="77777777" w:rsidR="00C95DC6" w:rsidRPr="008644E5" w:rsidRDefault="00C95DC6" w:rsidP="00374AF3">
      <w:pPr>
        <w:pStyle w:val="Quotation"/>
        <w:spacing w:line="276" w:lineRule="auto"/>
        <w:ind w:left="0" w:right="0"/>
        <w:rPr>
          <w:sz w:val="22"/>
          <w:szCs w:val="22"/>
        </w:rPr>
      </w:pPr>
    </w:p>
    <w:p w14:paraId="7D63F494" w14:textId="2109B450" w:rsidR="005D2CE1" w:rsidRPr="008644E5" w:rsidRDefault="005D2CE1" w:rsidP="00374AF3">
      <w:pPr>
        <w:pStyle w:val="Quotation"/>
        <w:spacing w:line="276" w:lineRule="auto"/>
        <w:ind w:left="0" w:right="0"/>
        <w:rPr>
          <w:sz w:val="22"/>
          <w:szCs w:val="22"/>
        </w:rPr>
      </w:pPr>
      <w:r w:rsidRPr="008644E5">
        <w:rPr>
          <w:sz w:val="22"/>
          <w:szCs w:val="22"/>
          <w:u w:val="single"/>
        </w:rPr>
        <w:t>The metalinguistic move</w:t>
      </w:r>
      <w:r w:rsidRPr="008644E5">
        <w:rPr>
          <w:sz w:val="22"/>
          <w:szCs w:val="22"/>
        </w:rPr>
        <w:t>:</w:t>
      </w:r>
    </w:p>
    <w:p w14:paraId="25E4202A" w14:textId="610CBFE2" w:rsidR="00374AF3" w:rsidRPr="008644E5" w:rsidRDefault="002365C2" w:rsidP="00374AF3">
      <w:pPr>
        <w:ind w:right="720"/>
        <w:rPr>
          <w:rFonts w:cs="Times New Roman"/>
          <w:sz w:val="22"/>
        </w:rPr>
      </w:pPr>
      <w:r>
        <w:rPr>
          <w:rFonts w:cs="Times New Roman"/>
          <w:sz w:val="22"/>
        </w:rPr>
        <w:t>“</w:t>
      </w:r>
      <w:r w:rsidR="00374AF3" w:rsidRPr="008644E5">
        <w:rPr>
          <w:rFonts w:cs="Times New Roman"/>
          <w:sz w:val="22"/>
        </w:rPr>
        <w:t>I shall be interpreting our judgments to the effect that A causally necessitates B as the expression of a rule governing our use of the terms 'A' and 'B'.</w:t>
      </w:r>
      <w:r>
        <w:rPr>
          <w:rFonts w:cs="Times New Roman"/>
          <w:sz w:val="22"/>
        </w:rPr>
        <w:t xml:space="preserve">”  </w:t>
      </w:r>
      <w:r w:rsidR="00374AF3" w:rsidRPr="008644E5">
        <w:rPr>
          <w:rFonts w:cs="Times New Roman"/>
          <w:sz w:val="22"/>
        </w:rPr>
        <w:t>[Sellars, "Language, Rules, and Behavior"]</w:t>
      </w:r>
    </w:p>
    <w:p w14:paraId="631C0606" w14:textId="45200732" w:rsidR="00CA6990" w:rsidRPr="008644E5" w:rsidRDefault="00CA6990" w:rsidP="00374AF3">
      <w:pPr>
        <w:ind w:right="720"/>
        <w:rPr>
          <w:rFonts w:cs="Times New Roman"/>
          <w:sz w:val="22"/>
        </w:rPr>
      </w:pPr>
      <w:bookmarkStart w:id="0" w:name="_GoBack"/>
      <w:bookmarkEnd w:id="0"/>
    </w:p>
    <w:p w14:paraId="19C61B11" w14:textId="359F86AC" w:rsidR="00CA6990" w:rsidRPr="008644E5" w:rsidRDefault="002365C2" w:rsidP="00CA6990">
      <w:pPr>
        <w:ind w:right="720"/>
        <w:rPr>
          <w:rFonts w:cs="Times New Roman"/>
          <w:sz w:val="22"/>
        </w:rPr>
      </w:pPr>
      <w:r>
        <w:rPr>
          <w:rFonts w:cs="Times New Roman"/>
          <w:sz w:val="22"/>
        </w:rPr>
        <w:t>“</w:t>
      </w:r>
      <w:r w:rsidR="00CA6990" w:rsidRPr="008644E5">
        <w:rPr>
          <w:rFonts w:cs="Times New Roman"/>
          <w:sz w:val="22"/>
        </w:rPr>
        <w:t>Shall we say that modal expressions are metalinguistic?  Neither a simple ‘yes’ nor a simple ‘no’ will do.</w:t>
      </w:r>
      <w:r>
        <w:rPr>
          <w:rFonts w:cs="Times New Roman"/>
          <w:sz w:val="22"/>
        </w:rPr>
        <w:t>”</w:t>
      </w:r>
      <w:r w:rsidR="00CA6990" w:rsidRPr="008644E5">
        <w:rPr>
          <w:rFonts w:cs="Times New Roman"/>
          <w:sz w:val="22"/>
        </w:rPr>
        <w:t xml:space="preserve"> [CDCM §82]</w:t>
      </w:r>
    </w:p>
    <w:p w14:paraId="46F9F91C" w14:textId="77777777" w:rsidR="00B069CA" w:rsidRDefault="00286693" w:rsidP="00286693">
      <w:pPr>
        <w:ind w:right="720"/>
        <w:rPr>
          <w:rFonts w:cs="Times New Roman"/>
          <w:sz w:val="22"/>
        </w:rPr>
      </w:pPr>
      <w:r w:rsidRPr="008644E5">
        <w:rPr>
          <w:rFonts w:cs="Times New Roman"/>
          <w:sz w:val="22"/>
        </w:rPr>
        <w:t xml:space="preserve">We can see that modal claims are not metalinguistic in the semantic sense of Tarski and Carnap because i) semantically: they </w:t>
      </w:r>
      <w:r w:rsidRPr="008644E5">
        <w:rPr>
          <w:rFonts w:cs="Times New Roman"/>
          <w:i/>
          <w:sz w:val="22"/>
        </w:rPr>
        <w:t>say</w:t>
      </w:r>
      <w:r w:rsidRPr="008644E5">
        <w:rPr>
          <w:rFonts w:cs="Times New Roman"/>
          <w:sz w:val="22"/>
        </w:rPr>
        <w:t xml:space="preserve"> nothing about any linguistic expressions, and </w:t>
      </w:r>
    </w:p>
    <w:p w14:paraId="2536E0F4" w14:textId="5A6099D2" w:rsidR="00286693" w:rsidRPr="008644E5" w:rsidRDefault="00286693" w:rsidP="00286693">
      <w:pPr>
        <w:ind w:right="720"/>
        <w:rPr>
          <w:rFonts w:cs="Times New Roman"/>
          <w:sz w:val="22"/>
        </w:rPr>
      </w:pPr>
      <w:r w:rsidRPr="008644E5">
        <w:rPr>
          <w:rFonts w:cs="Times New Roman"/>
          <w:sz w:val="22"/>
        </w:rPr>
        <w:t xml:space="preserve">ii) counterfactually: they </w:t>
      </w:r>
      <w:r w:rsidRPr="008644E5">
        <w:rPr>
          <w:rFonts w:cs="Times New Roman"/>
          <w:i/>
          <w:sz w:val="22"/>
        </w:rPr>
        <w:t>would</w:t>
      </w:r>
      <w:r w:rsidRPr="008644E5">
        <w:rPr>
          <w:rFonts w:cs="Times New Roman"/>
          <w:sz w:val="22"/>
        </w:rPr>
        <w:t xml:space="preserve"> be true even if there had never been any languages or language-users.</w:t>
      </w:r>
    </w:p>
    <w:p w14:paraId="56ED5C8A" w14:textId="30005B11" w:rsidR="00E16474" w:rsidRPr="008644E5" w:rsidRDefault="00085368" w:rsidP="00E16474">
      <w:pPr>
        <w:ind w:right="720"/>
        <w:rPr>
          <w:rFonts w:cs="Times New Roman"/>
          <w:sz w:val="22"/>
        </w:rPr>
      </w:pPr>
      <w:r>
        <w:rPr>
          <w:rFonts w:cs="Times New Roman"/>
          <w:sz w:val="22"/>
        </w:rPr>
        <w:t>“</w:t>
      </w:r>
      <w:r w:rsidR="00286693" w:rsidRPr="008644E5">
        <w:rPr>
          <w:rFonts w:cs="Times New Roman"/>
          <w:sz w:val="22"/>
        </w:rPr>
        <w:t>I</w:t>
      </w:r>
      <w:r w:rsidR="00E16474" w:rsidRPr="008644E5">
        <w:rPr>
          <w:rFonts w:cs="Times New Roman"/>
          <w:sz w:val="22"/>
        </w:rPr>
        <w:t xml:space="preserve">t is sometimes thought that modal statements do not describe states of affairs in the world, because they are </w:t>
      </w:r>
      <w:r w:rsidR="00E16474" w:rsidRPr="008644E5">
        <w:rPr>
          <w:rFonts w:cs="Times New Roman"/>
          <w:i/>
          <w:iCs/>
          <w:sz w:val="22"/>
        </w:rPr>
        <w:t>really</w:t>
      </w:r>
      <w:r w:rsidR="00E16474" w:rsidRPr="008644E5">
        <w:rPr>
          <w:rFonts w:cs="Times New Roman"/>
          <w:sz w:val="22"/>
        </w:rPr>
        <w:t xml:space="preserve"> metalinguistic.  This won’t do at all if it is meant that instead of describing states of affairs in the world, they describe linguistic habits.  It is more plausible if it is meant that statements involving modal terms have the force of </w:t>
      </w:r>
      <w:r w:rsidR="00E16474" w:rsidRPr="008644E5">
        <w:rPr>
          <w:rFonts w:cs="Times New Roman"/>
          <w:i/>
          <w:iCs/>
          <w:sz w:val="22"/>
        </w:rPr>
        <w:t>prescriptive</w:t>
      </w:r>
      <w:r w:rsidR="00E16474" w:rsidRPr="008644E5">
        <w:rPr>
          <w:rFonts w:cs="Times New Roman"/>
          <w:sz w:val="22"/>
        </w:rPr>
        <w:t xml:space="preserve"> statements about the use of certain expressions in the object language.  Yet there is more than one way of to ‘</w:t>
      </w:r>
      <w:r w:rsidR="00E16474" w:rsidRPr="008644E5">
        <w:rPr>
          <w:rFonts w:cs="Times New Roman"/>
          <w:i/>
          <w:iCs/>
          <w:sz w:val="22"/>
        </w:rPr>
        <w:t>have the force of’</w:t>
      </w:r>
      <w:r w:rsidR="00E16474" w:rsidRPr="008644E5">
        <w:rPr>
          <w:rFonts w:cs="Times New Roman"/>
          <w:sz w:val="22"/>
        </w:rPr>
        <w:t xml:space="preserve"> a statement, and failure to distinguish between them may snowball into a serious confusion as wider implications are drawn.</w:t>
      </w:r>
      <w:r>
        <w:rPr>
          <w:rFonts w:cs="Times New Roman"/>
          <w:sz w:val="22"/>
        </w:rPr>
        <w:t>”</w:t>
      </w:r>
      <w:r w:rsidR="00E16474" w:rsidRPr="008644E5">
        <w:rPr>
          <w:rFonts w:cs="Times New Roman"/>
          <w:sz w:val="22"/>
        </w:rPr>
        <w:t xml:space="preserve"> [CDCM §81]</w:t>
      </w:r>
    </w:p>
    <w:p w14:paraId="7F49897C" w14:textId="567CE85C" w:rsidR="009C4614" w:rsidRPr="008644E5" w:rsidRDefault="002365C2" w:rsidP="009C4614">
      <w:pPr>
        <w:pStyle w:val="Quotation"/>
        <w:spacing w:line="276" w:lineRule="auto"/>
        <w:ind w:left="0"/>
        <w:rPr>
          <w:sz w:val="22"/>
          <w:szCs w:val="22"/>
        </w:rPr>
      </w:pPr>
      <w:r>
        <w:rPr>
          <w:sz w:val="22"/>
          <w:szCs w:val="22"/>
        </w:rPr>
        <w:t>“</w:t>
      </w:r>
      <w:r w:rsidR="009C4614" w:rsidRPr="008644E5">
        <w:rPr>
          <w:sz w:val="22"/>
          <w:szCs w:val="22"/>
        </w:rPr>
        <w:t>We must here, as elsewhere, draw a distinction between what we are committed to concerning the world by virtue of the fact that we have reason to make a certain assertion, and the force, in a narrower sense, of the assertion itself.</w:t>
      </w:r>
      <w:r>
        <w:rPr>
          <w:sz w:val="22"/>
          <w:szCs w:val="22"/>
        </w:rPr>
        <w:t>”</w:t>
      </w:r>
      <w:r w:rsidR="009C4614" w:rsidRPr="008644E5">
        <w:rPr>
          <w:sz w:val="22"/>
          <w:szCs w:val="22"/>
        </w:rPr>
        <w:t xml:space="preserve"> [CDCM §101]</w:t>
      </w:r>
    </w:p>
    <w:p w14:paraId="013FE2CB" w14:textId="0AEC2632" w:rsidR="00E16474" w:rsidRPr="008644E5" w:rsidRDefault="00E16474" w:rsidP="00CA6990">
      <w:pPr>
        <w:ind w:right="720"/>
        <w:rPr>
          <w:rFonts w:cs="Times New Roman"/>
          <w:sz w:val="22"/>
        </w:rPr>
      </w:pPr>
    </w:p>
    <w:p w14:paraId="2081F23B" w14:textId="3875D284" w:rsidR="00E16474" w:rsidRPr="008644E5" w:rsidRDefault="00216A98" w:rsidP="00CA6990">
      <w:pPr>
        <w:ind w:right="720"/>
        <w:rPr>
          <w:rFonts w:cs="Times New Roman"/>
          <w:sz w:val="22"/>
        </w:rPr>
      </w:pPr>
      <w:r>
        <w:rPr>
          <w:rFonts w:cs="Times New Roman"/>
          <w:sz w:val="22"/>
        </w:rPr>
        <w:t>Earlier, i</w:t>
      </w:r>
      <w:r w:rsidR="002365C2">
        <w:rPr>
          <w:rFonts w:cs="Times New Roman"/>
          <w:sz w:val="22"/>
        </w:rPr>
        <w:t xml:space="preserve">n </w:t>
      </w:r>
      <w:r w:rsidR="002365C2" w:rsidRPr="008644E5">
        <w:rPr>
          <w:rFonts w:cs="Times New Roman"/>
          <w:sz w:val="22"/>
        </w:rPr>
        <w:t>“Inference and Meaning”</w:t>
      </w:r>
      <w:r w:rsidR="009943D8" w:rsidRPr="008644E5">
        <w:rPr>
          <w:rFonts w:cs="Times New Roman"/>
          <w:sz w:val="22"/>
        </w:rPr>
        <w:t xml:space="preserve"> Sellars had put what I think is recognizably the same point in terms of a distinction between what one </w:t>
      </w:r>
      <w:r w:rsidR="009943D8" w:rsidRPr="008644E5">
        <w:rPr>
          <w:rFonts w:cs="Times New Roman"/>
          <w:i/>
          <w:iCs/>
          <w:sz w:val="22"/>
        </w:rPr>
        <w:t>says</w:t>
      </w:r>
      <w:r w:rsidR="009943D8" w:rsidRPr="008644E5">
        <w:rPr>
          <w:rFonts w:cs="Times New Roman"/>
          <w:sz w:val="22"/>
        </w:rPr>
        <w:t xml:space="preserve"> by making a statement and what (else) one </w:t>
      </w:r>
      <w:r w:rsidR="009943D8" w:rsidRPr="008644E5">
        <w:rPr>
          <w:rFonts w:cs="Times New Roman"/>
          <w:i/>
          <w:iCs/>
          <w:sz w:val="22"/>
        </w:rPr>
        <w:t>conveys</w:t>
      </w:r>
      <w:r w:rsidR="009943D8" w:rsidRPr="008644E5">
        <w:rPr>
          <w:rFonts w:cs="Times New Roman"/>
          <w:sz w:val="22"/>
        </w:rPr>
        <w:t xml:space="preserve"> by doing so. There his example is that in asserting “The weather is fine today,” I </w:t>
      </w:r>
      <w:r w:rsidR="009943D8" w:rsidRPr="008644E5">
        <w:rPr>
          <w:rFonts w:cs="Times New Roman"/>
          <w:i/>
          <w:iCs/>
          <w:sz w:val="22"/>
        </w:rPr>
        <w:t xml:space="preserve">say </w:t>
      </w:r>
      <w:r w:rsidR="009943D8" w:rsidRPr="008644E5">
        <w:rPr>
          <w:rFonts w:cs="Times New Roman"/>
          <w:sz w:val="22"/>
        </w:rPr>
        <w:t>that</w:t>
      </w:r>
      <w:r w:rsidR="009943D8" w:rsidRPr="008644E5">
        <w:rPr>
          <w:rFonts w:cs="Times New Roman"/>
          <w:i/>
          <w:iCs/>
          <w:sz w:val="22"/>
        </w:rPr>
        <w:t xml:space="preserve"> </w:t>
      </w:r>
      <w:r w:rsidR="009943D8" w:rsidRPr="008644E5">
        <w:rPr>
          <w:rFonts w:cs="Times New Roman"/>
          <w:sz w:val="22"/>
        </w:rPr>
        <w:t xml:space="preserve">the weather is fine today, but </w:t>
      </w:r>
      <w:r w:rsidR="009943D8" w:rsidRPr="008644E5">
        <w:rPr>
          <w:rFonts w:cs="Times New Roman"/>
          <w:i/>
          <w:iCs/>
          <w:sz w:val="22"/>
        </w:rPr>
        <w:t>convey</w:t>
      </w:r>
      <w:r w:rsidR="009943D8" w:rsidRPr="008644E5">
        <w:rPr>
          <w:rFonts w:cs="Times New Roman"/>
          <w:sz w:val="22"/>
        </w:rPr>
        <w:t xml:space="preserve"> that I </w:t>
      </w:r>
      <w:r w:rsidR="009943D8" w:rsidRPr="008644E5">
        <w:rPr>
          <w:rFonts w:cs="Times New Roman"/>
          <w:i/>
          <w:iCs/>
          <w:sz w:val="22"/>
        </w:rPr>
        <w:t>believe</w:t>
      </w:r>
      <w:r w:rsidR="009943D8" w:rsidRPr="008644E5">
        <w:rPr>
          <w:rFonts w:cs="Times New Roman"/>
          <w:sz w:val="22"/>
        </w:rPr>
        <w:t xml:space="preserve"> that it is fine.  </w:t>
      </w:r>
    </w:p>
    <w:p w14:paraId="5E355A74" w14:textId="215DDEC1" w:rsidR="00B622F7" w:rsidRPr="008644E5" w:rsidRDefault="00B622F7" w:rsidP="00CA6990">
      <w:pPr>
        <w:ind w:right="720"/>
        <w:rPr>
          <w:rFonts w:cs="Times New Roman"/>
          <w:sz w:val="22"/>
        </w:rPr>
      </w:pPr>
    </w:p>
    <w:p w14:paraId="26F52B5F" w14:textId="77777777" w:rsidR="00902A63" w:rsidRDefault="00795E43" w:rsidP="00CA6990">
      <w:pPr>
        <w:ind w:right="720"/>
        <w:rPr>
          <w:rFonts w:cs="Times New Roman"/>
          <w:sz w:val="22"/>
        </w:rPr>
      </w:pPr>
      <w:r w:rsidRPr="008644E5">
        <w:rPr>
          <w:rFonts w:cs="Times New Roman"/>
          <w:sz w:val="22"/>
        </w:rPr>
        <w:t xml:space="preserve">What Sellars is invoking here is the distinction between </w:t>
      </w:r>
      <w:r w:rsidRPr="008644E5">
        <w:rPr>
          <w:rFonts w:cs="Times New Roman"/>
          <w:i/>
          <w:sz w:val="22"/>
        </w:rPr>
        <w:t>semantic</w:t>
      </w:r>
      <w:r w:rsidRPr="008644E5">
        <w:rPr>
          <w:rFonts w:cs="Times New Roman"/>
          <w:sz w:val="22"/>
        </w:rPr>
        <w:t xml:space="preserve"> consequences, which follow in </w:t>
      </w:r>
      <w:r w:rsidRPr="00902A63">
        <w:rPr>
          <w:rFonts w:cs="Times New Roman"/>
          <w:sz w:val="22"/>
        </w:rPr>
        <w:t xml:space="preserve">virtue of </w:t>
      </w:r>
      <w:r w:rsidRPr="00902A63">
        <w:rPr>
          <w:rFonts w:cs="Times New Roman"/>
          <w:i/>
          <w:sz w:val="22"/>
        </w:rPr>
        <w:t>content</w:t>
      </w:r>
      <w:r w:rsidRPr="00902A63">
        <w:rPr>
          <w:rFonts w:cs="Times New Roman"/>
          <w:sz w:val="22"/>
        </w:rPr>
        <w:t xml:space="preserve">, and </w:t>
      </w:r>
      <w:r w:rsidRPr="00902A63">
        <w:rPr>
          <w:rFonts w:cs="Times New Roman"/>
          <w:i/>
          <w:sz w:val="22"/>
        </w:rPr>
        <w:t>pragmatic</w:t>
      </w:r>
      <w:r w:rsidRPr="00902A63">
        <w:rPr>
          <w:rFonts w:cs="Times New Roman"/>
          <w:sz w:val="22"/>
        </w:rPr>
        <w:t xml:space="preserve"> consequences, which follow in virtue of the speech-act performed.  </w:t>
      </w:r>
    </w:p>
    <w:p w14:paraId="293746DD" w14:textId="111D60B9" w:rsidR="00795E43" w:rsidRPr="00902A63" w:rsidRDefault="00795E43" w:rsidP="00CA6990">
      <w:pPr>
        <w:ind w:right="720"/>
        <w:rPr>
          <w:rFonts w:eastAsiaTheme="minorHAnsi" w:cs="Times New Roman"/>
          <w:szCs w:val="24"/>
        </w:rPr>
      </w:pPr>
      <w:r w:rsidRPr="00902A63">
        <w:rPr>
          <w:rFonts w:cs="Times New Roman"/>
          <w:sz w:val="22"/>
        </w:rPr>
        <w:t>We can tell them apart by the Frege-Geach embedding test</w:t>
      </w:r>
      <w:r w:rsidR="00902A63" w:rsidRPr="00902A63">
        <w:rPr>
          <w:rFonts w:cs="Times New Roman"/>
          <w:sz w:val="22"/>
        </w:rPr>
        <w:t>, considering their different behavior as antecedents of conditionals.  For such embedding strips off the pragmatic force of the speech act</w:t>
      </w:r>
      <w:r w:rsidR="000F4621">
        <w:rPr>
          <w:rFonts w:cs="Times New Roman"/>
          <w:sz w:val="22"/>
        </w:rPr>
        <w:t xml:space="preserve"> (since one is not asserting the antecedent)</w:t>
      </w:r>
      <w:r w:rsidR="00DC74C4">
        <w:rPr>
          <w:rFonts w:cs="Times New Roman"/>
          <w:sz w:val="22"/>
        </w:rPr>
        <w:t>, leaving only the content to affect the consequences</w:t>
      </w:r>
      <w:r w:rsidR="00902A63" w:rsidRPr="00902A63">
        <w:rPr>
          <w:rFonts w:cs="Times New Roman"/>
          <w:sz w:val="22"/>
        </w:rPr>
        <w:t xml:space="preserve">.  </w:t>
      </w:r>
    </w:p>
    <w:p w14:paraId="76D955DA" w14:textId="77777777" w:rsidR="00795E43" w:rsidRPr="008644E5" w:rsidRDefault="00795E43" w:rsidP="00795E43">
      <w:pPr>
        <w:ind w:right="720"/>
        <w:rPr>
          <w:rFonts w:eastAsiaTheme="minorHAnsi" w:cs="Times New Roman"/>
          <w:sz w:val="22"/>
        </w:rPr>
      </w:pPr>
      <w:r w:rsidRPr="008644E5">
        <w:rPr>
          <w:rFonts w:cs="Times New Roman"/>
          <w:sz w:val="22"/>
        </w:rPr>
        <w:t>C1)  If the light has turned red then traffic is obliged to stop.</w:t>
      </w:r>
    </w:p>
    <w:p w14:paraId="0ABF9611" w14:textId="77777777" w:rsidR="00795E43" w:rsidRPr="008644E5" w:rsidRDefault="00795E43" w:rsidP="00795E43">
      <w:pPr>
        <w:ind w:right="720"/>
        <w:rPr>
          <w:rFonts w:cs="Times New Roman"/>
          <w:sz w:val="22"/>
        </w:rPr>
      </w:pPr>
      <w:r w:rsidRPr="008644E5">
        <w:rPr>
          <w:rFonts w:cs="Times New Roman"/>
          <w:sz w:val="22"/>
        </w:rPr>
        <w:t>C2)  If John believes the light has turned red, then traffic is obliged to stop.</w:t>
      </w:r>
    </w:p>
    <w:p w14:paraId="72ECC60A" w14:textId="77777777" w:rsidR="00795E43" w:rsidRPr="008644E5" w:rsidRDefault="00795E43" w:rsidP="00795E43">
      <w:pPr>
        <w:ind w:right="720"/>
        <w:rPr>
          <w:rFonts w:cs="Times New Roman"/>
          <w:sz w:val="22"/>
        </w:rPr>
      </w:pPr>
      <w:r w:rsidRPr="008644E5">
        <w:rPr>
          <w:rFonts w:cs="Times New Roman"/>
          <w:sz w:val="22"/>
        </w:rPr>
        <w:t>Or even</w:t>
      </w:r>
    </w:p>
    <w:p w14:paraId="007672DC" w14:textId="77777777" w:rsidR="00795E43" w:rsidRPr="008644E5" w:rsidRDefault="00795E43" w:rsidP="00795E43">
      <w:pPr>
        <w:ind w:right="720"/>
        <w:rPr>
          <w:rFonts w:cs="Times New Roman"/>
          <w:sz w:val="22"/>
        </w:rPr>
      </w:pPr>
      <w:r w:rsidRPr="008644E5">
        <w:rPr>
          <w:rFonts w:cs="Times New Roman"/>
          <w:sz w:val="22"/>
        </w:rPr>
        <w:t>C3)  If the light has turned red, then the light has turned red.</w:t>
      </w:r>
    </w:p>
    <w:p w14:paraId="5B2113E6" w14:textId="77777777" w:rsidR="00795E43" w:rsidRPr="008644E5" w:rsidRDefault="00795E43" w:rsidP="00795E43">
      <w:pPr>
        <w:ind w:right="720"/>
        <w:rPr>
          <w:rFonts w:cs="Times New Roman"/>
          <w:sz w:val="22"/>
        </w:rPr>
      </w:pPr>
      <w:r w:rsidRPr="008644E5">
        <w:rPr>
          <w:rFonts w:cs="Times New Roman"/>
          <w:sz w:val="22"/>
        </w:rPr>
        <w:t>C4)  If John believes the light has turned red, then the light has turned red.</w:t>
      </w:r>
    </w:p>
    <w:p w14:paraId="193AA392" w14:textId="566A801D" w:rsidR="00902A63" w:rsidRDefault="00A72863" w:rsidP="00A72863">
      <w:pPr>
        <w:ind w:right="720"/>
        <w:rPr>
          <w:rFonts w:cs="Times New Roman"/>
          <w:sz w:val="22"/>
        </w:rPr>
      </w:pPr>
      <w:r w:rsidRPr="00902A63">
        <w:rPr>
          <w:rFonts w:cs="Times New Roman"/>
          <w:sz w:val="22"/>
        </w:rPr>
        <w:t xml:space="preserve">(C2) and (C4) codify </w:t>
      </w:r>
      <w:r w:rsidR="00504C42">
        <w:rPr>
          <w:rFonts w:cs="Times New Roman"/>
          <w:sz w:val="22"/>
        </w:rPr>
        <w:t xml:space="preserve">implications that are </w:t>
      </w:r>
      <w:r w:rsidRPr="00902A63">
        <w:rPr>
          <w:rFonts w:cs="Times New Roman"/>
          <w:i/>
          <w:sz w:val="22"/>
        </w:rPr>
        <w:t>much</w:t>
      </w:r>
      <w:r w:rsidRPr="00902A63">
        <w:rPr>
          <w:rFonts w:cs="Times New Roman"/>
          <w:sz w:val="22"/>
        </w:rPr>
        <w:t xml:space="preserve"> less certain than (C1) and (C3).  </w:t>
      </w:r>
    </w:p>
    <w:p w14:paraId="3C4BD59E" w14:textId="72FE1A0F" w:rsidR="00A72863" w:rsidRPr="00902A63" w:rsidRDefault="00A72863" w:rsidP="00A72863">
      <w:pPr>
        <w:ind w:right="720"/>
        <w:rPr>
          <w:rFonts w:eastAsiaTheme="minorHAnsi" w:cs="Times New Roman"/>
          <w:sz w:val="22"/>
        </w:rPr>
      </w:pPr>
      <w:r w:rsidRPr="00902A63">
        <w:rPr>
          <w:rFonts w:cs="Times New Roman"/>
          <w:sz w:val="22"/>
        </w:rPr>
        <w:t>Their truth depends on how reliable John is.</w:t>
      </w:r>
    </w:p>
    <w:p w14:paraId="444EF580" w14:textId="78E290A2" w:rsidR="00A72863" w:rsidRPr="00902A63" w:rsidRDefault="00902A63" w:rsidP="00A72863">
      <w:pPr>
        <w:ind w:right="720"/>
        <w:rPr>
          <w:rFonts w:cs="Times New Roman"/>
          <w:sz w:val="22"/>
        </w:rPr>
      </w:pPr>
      <w:r>
        <w:rPr>
          <w:rFonts w:cs="Times New Roman"/>
          <w:sz w:val="22"/>
        </w:rPr>
        <w:t>[</w:t>
      </w:r>
      <w:r w:rsidR="007C1918">
        <w:rPr>
          <w:rFonts w:cs="Times New Roman"/>
          <w:sz w:val="22"/>
        </w:rPr>
        <w:t xml:space="preserve">Complication: </w:t>
      </w:r>
      <w:r w:rsidR="00A72863" w:rsidRPr="00902A63">
        <w:rPr>
          <w:rFonts w:cs="Times New Roman"/>
          <w:sz w:val="22"/>
        </w:rPr>
        <w:t xml:space="preserve">In fact, notice that what (C4) codifies just </w:t>
      </w:r>
      <w:r w:rsidR="00A72863" w:rsidRPr="00902A63">
        <w:rPr>
          <w:rFonts w:cs="Times New Roman"/>
          <w:i/>
          <w:sz w:val="22"/>
        </w:rPr>
        <w:t>is</w:t>
      </w:r>
      <w:r w:rsidR="00A72863" w:rsidRPr="00902A63">
        <w:rPr>
          <w:rFonts w:cs="Times New Roman"/>
          <w:sz w:val="22"/>
        </w:rPr>
        <w:t xml:space="preserve"> what I called the “reliability inference.”  That there are circumstances in which it </w:t>
      </w:r>
      <w:r w:rsidR="00A72863" w:rsidRPr="00902A63">
        <w:rPr>
          <w:rFonts w:cs="Times New Roman"/>
          <w:i/>
          <w:sz w:val="22"/>
        </w:rPr>
        <w:t>is</w:t>
      </w:r>
      <w:r w:rsidR="00A72863" w:rsidRPr="00902A63">
        <w:rPr>
          <w:rFonts w:cs="Times New Roman"/>
          <w:sz w:val="22"/>
        </w:rPr>
        <w:t xml:space="preserve"> a good inference is just the “default and challenge” structure of entitlement inheritance, as applied to </w:t>
      </w:r>
      <w:r w:rsidR="00A72863" w:rsidRPr="00902A63">
        <w:rPr>
          <w:rFonts w:cs="Times New Roman"/>
          <w:i/>
          <w:sz w:val="22"/>
        </w:rPr>
        <w:t>observation</w:t>
      </w:r>
      <w:r w:rsidR="00A72863" w:rsidRPr="00902A63">
        <w:rPr>
          <w:rFonts w:cs="Times New Roman"/>
          <w:sz w:val="22"/>
        </w:rPr>
        <w:t xml:space="preserve">.  As such it is </w:t>
      </w:r>
      <w:r w:rsidR="00A72863" w:rsidRPr="00902A63">
        <w:rPr>
          <w:rFonts w:cs="Times New Roman"/>
          <w:i/>
          <w:sz w:val="22"/>
        </w:rPr>
        <w:t>not</w:t>
      </w:r>
      <w:r w:rsidR="00A72863" w:rsidRPr="00902A63">
        <w:rPr>
          <w:rFonts w:cs="Times New Roman"/>
          <w:sz w:val="22"/>
        </w:rPr>
        <w:t xml:space="preserve"> an optional feature of discursive practices that include the making of empirical claims.</w:t>
      </w:r>
      <w:r>
        <w:rPr>
          <w:rFonts w:cs="Times New Roman"/>
          <w:sz w:val="22"/>
        </w:rPr>
        <w:t>]</w:t>
      </w:r>
    </w:p>
    <w:p w14:paraId="0CC72567" w14:textId="77777777" w:rsidR="006A4249" w:rsidRPr="008644E5" w:rsidRDefault="006A4249" w:rsidP="00CA6990">
      <w:pPr>
        <w:ind w:right="720"/>
        <w:rPr>
          <w:rFonts w:cs="Times New Roman"/>
          <w:sz w:val="22"/>
        </w:rPr>
      </w:pPr>
    </w:p>
    <w:p w14:paraId="49B2684A" w14:textId="25816AA2" w:rsidR="00CA6435" w:rsidRPr="008644E5" w:rsidRDefault="00CA6435" w:rsidP="00CA6990">
      <w:pPr>
        <w:ind w:right="720"/>
        <w:rPr>
          <w:rFonts w:cs="Times New Roman"/>
          <w:sz w:val="22"/>
        </w:rPr>
      </w:pPr>
      <w:r w:rsidRPr="008644E5">
        <w:rPr>
          <w:rFonts w:cs="Times New Roman"/>
          <w:sz w:val="22"/>
          <w:u w:val="single"/>
        </w:rPr>
        <w:t>Conjecture</w:t>
      </w:r>
      <w:r w:rsidRPr="008644E5">
        <w:rPr>
          <w:rFonts w:cs="Times New Roman"/>
          <w:sz w:val="22"/>
        </w:rPr>
        <w:t>:</w:t>
      </w:r>
    </w:p>
    <w:p w14:paraId="70E48CCF" w14:textId="78F1BFA8" w:rsidR="00CA6435" w:rsidRPr="008644E5" w:rsidRDefault="00CA6435" w:rsidP="00CA6990">
      <w:pPr>
        <w:ind w:right="720"/>
        <w:rPr>
          <w:rFonts w:cs="Times New Roman"/>
          <w:sz w:val="22"/>
        </w:rPr>
      </w:pPr>
      <w:r w:rsidRPr="008644E5">
        <w:rPr>
          <w:rFonts w:cs="Times New Roman"/>
          <w:sz w:val="22"/>
        </w:rPr>
        <w:t xml:space="preserve">Sellars is not telling us what one is </w:t>
      </w:r>
      <w:r w:rsidRPr="008644E5">
        <w:rPr>
          <w:rFonts w:cs="Times New Roman"/>
          <w:i/>
          <w:sz w:val="22"/>
        </w:rPr>
        <w:t>saying</w:t>
      </w:r>
      <w:r w:rsidRPr="008644E5">
        <w:rPr>
          <w:rFonts w:cs="Times New Roman"/>
          <w:sz w:val="22"/>
        </w:rPr>
        <w:t xml:space="preserve"> in making a modal claim, but what one is </w:t>
      </w:r>
      <w:r w:rsidRPr="008644E5">
        <w:rPr>
          <w:rFonts w:cs="Times New Roman"/>
          <w:i/>
          <w:sz w:val="22"/>
        </w:rPr>
        <w:t>doing</w:t>
      </w:r>
      <w:r w:rsidRPr="008644E5">
        <w:rPr>
          <w:rFonts w:cs="Times New Roman"/>
          <w:sz w:val="22"/>
        </w:rPr>
        <w:t xml:space="preserve"> by making a modal claim.  One is, </w:t>
      </w:r>
      <w:r w:rsidRPr="008644E5">
        <w:rPr>
          <w:rFonts w:cs="Times New Roman"/>
          <w:i/>
          <w:sz w:val="22"/>
        </w:rPr>
        <w:t>inter alia</w:t>
      </w:r>
      <w:r w:rsidRPr="008644E5">
        <w:rPr>
          <w:rFonts w:cs="Times New Roman"/>
          <w:sz w:val="22"/>
        </w:rPr>
        <w:t>, endorsing determinately subjunctively robust</w:t>
      </w:r>
      <w:r w:rsidR="00E74CB6">
        <w:rPr>
          <w:rFonts w:cs="Times New Roman"/>
          <w:sz w:val="22"/>
        </w:rPr>
        <w:t xml:space="preserve"> implications/incompatibilities (“</w:t>
      </w:r>
      <w:r w:rsidRPr="008644E5">
        <w:rPr>
          <w:rFonts w:cs="Times New Roman"/>
          <w:sz w:val="22"/>
        </w:rPr>
        <w:t>rules of reasoning</w:t>
      </w:r>
      <w:r w:rsidR="00E74CB6">
        <w:rPr>
          <w:rFonts w:cs="Times New Roman"/>
          <w:sz w:val="22"/>
        </w:rPr>
        <w:t>”)</w:t>
      </w:r>
      <w:r w:rsidRPr="008644E5">
        <w:rPr>
          <w:rFonts w:cs="Times New Roman"/>
          <w:sz w:val="22"/>
        </w:rPr>
        <w:t xml:space="preserve">.  Sellars’s claim is in a </w:t>
      </w:r>
      <w:r w:rsidRPr="008644E5">
        <w:rPr>
          <w:rFonts w:cs="Times New Roman"/>
          <w:i/>
          <w:sz w:val="22"/>
        </w:rPr>
        <w:t>pragmatic metavocabulary</w:t>
      </w:r>
      <w:r w:rsidRPr="008644E5">
        <w:rPr>
          <w:rFonts w:cs="Times New Roman"/>
          <w:sz w:val="22"/>
        </w:rPr>
        <w:t xml:space="preserve"> for modal discourse, rather than a </w:t>
      </w:r>
      <w:r w:rsidRPr="008644E5">
        <w:rPr>
          <w:rFonts w:cs="Times New Roman"/>
          <w:i/>
          <w:sz w:val="22"/>
        </w:rPr>
        <w:t>semantic</w:t>
      </w:r>
      <w:r w:rsidRPr="008644E5">
        <w:rPr>
          <w:rFonts w:cs="Times New Roman"/>
          <w:sz w:val="22"/>
        </w:rPr>
        <w:t xml:space="preserve"> metavocabulary for modal discourse.  </w:t>
      </w:r>
    </w:p>
    <w:p w14:paraId="0CAE4DDD" w14:textId="15EDE211" w:rsidR="00410DA3" w:rsidRPr="008644E5" w:rsidRDefault="00410DA3" w:rsidP="00CA6990">
      <w:pPr>
        <w:ind w:right="720"/>
        <w:rPr>
          <w:rFonts w:cs="Times New Roman"/>
          <w:sz w:val="22"/>
        </w:rPr>
      </w:pPr>
    </w:p>
    <w:p w14:paraId="6206644A" w14:textId="574485BE" w:rsidR="00410DA3" w:rsidRPr="008644E5" w:rsidRDefault="00410DA3" w:rsidP="00CA6990">
      <w:pPr>
        <w:ind w:right="720"/>
        <w:rPr>
          <w:rFonts w:cs="Times New Roman"/>
          <w:sz w:val="22"/>
        </w:rPr>
      </w:pPr>
      <w:r w:rsidRPr="008644E5">
        <w:rPr>
          <w:rFonts w:cs="Times New Roman"/>
          <w:sz w:val="22"/>
          <w:u w:val="single"/>
        </w:rPr>
        <w:t>Claim</w:t>
      </w:r>
      <w:r w:rsidRPr="008644E5">
        <w:rPr>
          <w:rFonts w:cs="Times New Roman"/>
          <w:sz w:val="22"/>
        </w:rPr>
        <w:t xml:space="preserve">:  </w:t>
      </w:r>
    </w:p>
    <w:p w14:paraId="54332EEC" w14:textId="149F553C" w:rsidR="00CA6435" w:rsidRPr="008644E5" w:rsidRDefault="00472291" w:rsidP="00CA6990">
      <w:pPr>
        <w:ind w:right="720"/>
        <w:rPr>
          <w:rFonts w:cs="Times New Roman"/>
          <w:sz w:val="22"/>
        </w:rPr>
      </w:pPr>
      <w:r w:rsidRPr="008644E5">
        <w:rPr>
          <w:rFonts w:cs="Times New Roman"/>
          <w:sz w:val="22"/>
        </w:rPr>
        <w:t xml:space="preserve">That claim about what one is </w:t>
      </w:r>
      <w:r w:rsidRPr="008644E5">
        <w:rPr>
          <w:rFonts w:cs="Times New Roman"/>
          <w:i/>
          <w:sz w:val="22"/>
        </w:rPr>
        <w:t>doing</w:t>
      </w:r>
      <w:r w:rsidRPr="008644E5">
        <w:rPr>
          <w:rFonts w:cs="Times New Roman"/>
          <w:sz w:val="22"/>
        </w:rPr>
        <w:t xml:space="preserve"> </w:t>
      </w:r>
      <w:r w:rsidR="00EE2281" w:rsidRPr="008644E5">
        <w:rPr>
          <w:rFonts w:cs="Times New Roman"/>
          <w:sz w:val="22"/>
        </w:rPr>
        <w:t xml:space="preserve">in making modal claims is compatible with the claim that what one is </w:t>
      </w:r>
      <w:r w:rsidR="00EE2281" w:rsidRPr="008644E5">
        <w:rPr>
          <w:rFonts w:cs="Times New Roman"/>
          <w:i/>
          <w:sz w:val="22"/>
        </w:rPr>
        <w:t>saying</w:t>
      </w:r>
      <w:r w:rsidR="00EE2281" w:rsidRPr="008644E5">
        <w:rPr>
          <w:rFonts w:cs="Times New Roman"/>
          <w:sz w:val="22"/>
        </w:rPr>
        <w:t xml:space="preserve"> in making modal claims (a matter of content rather than force) is </w:t>
      </w:r>
      <w:r w:rsidR="00EE2281" w:rsidRPr="008644E5">
        <w:rPr>
          <w:rFonts w:cs="Times New Roman"/>
          <w:i/>
          <w:sz w:val="22"/>
        </w:rPr>
        <w:t>that</w:t>
      </w:r>
      <w:r w:rsidR="00EE2281" w:rsidRPr="008644E5">
        <w:rPr>
          <w:rFonts w:cs="Times New Roman"/>
          <w:sz w:val="22"/>
        </w:rPr>
        <w:t xml:space="preserve"> certain relations of material consequence and incompatibility hold objectively between empirical properties or states of affairs.  </w:t>
      </w:r>
    </w:p>
    <w:p w14:paraId="2D421847" w14:textId="77777777" w:rsidR="00CA6435" w:rsidRPr="008644E5" w:rsidRDefault="00CA6435" w:rsidP="00CA6990">
      <w:pPr>
        <w:ind w:right="720"/>
        <w:rPr>
          <w:rFonts w:cs="Times New Roman"/>
          <w:sz w:val="22"/>
        </w:rPr>
      </w:pPr>
    </w:p>
    <w:p w14:paraId="266B6C66" w14:textId="77777777" w:rsidR="00AC2F88" w:rsidRPr="008644E5" w:rsidRDefault="00AC2F88" w:rsidP="00CA6990">
      <w:pPr>
        <w:ind w:right="720"/>
        <w:rPr>
          <w:rFonts w:cs="Times New Roman"/>
          <w:sz w:val="22"/>
        </w:rPr>
      </w:pPr>
      <w:r w:rsidRPr="008644E5">
        <w:rPr>
          <w:rFonts w:cs="Times New Roman"/>
          <w:sz w:val="22"/>
          <w:u w:val="single"/>
        </w:rPr>
        <w:t>T</w:t>
      </w:r>
      <w:r w:rsidR="00D24C0C" w:rsidRPr="008644E5">
        <w:rPr>
          <w:rFonts w:cs="Times New Roman"/>
          <w:sz w:val="22"/>
          <w:u w:val="single"/>
        </w:rPr>
        <w:t>he Kant-Sellars thesis about modality</w:t>
      </w:r>
      <w:r w:rsidR="00D24C0C" w:rsidRPr="008644E5">
        <w:rPr>
          <w:rFonts w:cs="Times New Roman"/>
          <w:sz w:val="22"/>
        </w:rPr>
        <w:t xml:space="preserve">:  </w:t>
      </w:r>
    </w:p>
    <w:p w14:paraId="1501D844" w14:textId="0F0A7531" w:rsidR="00AC2F88" w:rsidRPr="008644E5" w:rsidRDefault="00AC2F88" w:rsidP="00CA6990">
      <w:pPr>
        <w:ind w:right="720"/>
        <w:rPr>
          <w:rFonts w:cs="Times New Roman"/>
          <w:sz w:val="22"/>
        </w:rPr>
      </w:pPr>
      <w:r w:rsidRPr="008644E5">
        <w:rPr>
          <w:rFonts w:cs="Times New Roman"/>
          <w:sz w:val="22"/>
        </w:rPr>
        <w:t>I</w:t>
      </w:r>
      <w:r w:rsidR="00D24C0C" w:rsidRPr="008644E5">
        <w:rPr>
          <w:rFonts w:cs="Times New Roman"/>
          <w:sz w:val="22"/>
        </w:rPr>
        <w:t xml:space="preserve">n knowing how to use ordinary empirical descriptive vocabulary, one already knows how to do everything one needs to know how to do in order to be able (in principle) to use alethic modal vocabulary.  </w:t>
      </w:r>
      <w:r w:rsidR="00230D8D" w:rsidRPr="008644E5">
        <w:rPr>
          <w:rFonts w:cs="Times New Roman"/>
          <w:sz w:val="22"/>
        </w:rPr>
        <w:t>(This is the “L” of “LX-ness.</w:t>
      </w:r>
      <w:r w:rsidR="009C7592">
        <w:rPr>
          <w:rFonts w:cs="Times New Roman"/>
          <w:sz w:val="22"/>
        </w:rPr>
        <w:t>”</w:t>
      </w:r>
      <w:r w:rsidR="00230D8D" w:rsidRPr="008644E5">
        <w:rPr>
          <w:rFonts w:cs="Times New Roman"/>
          <w:sz w:val="22"/>
        </w:rPr>
        <w:t>)</w:t>
      </w:r>
    </w:p>
    <w:p w14:paraId="29A3995C" w14:textId="77777777" w:rsidR="00286693" w:rsidRPr="008644E5" w:rsidRDefault="00D24C0C" w:rsidP="00CA6990">
      <w:pPr>
        <w:ind w:right="720"/>
        <w:rPr>
          <w:rFonts w:cs="Times New Roman"/>
          <w:sz w:val="22"/>
        </w:rPr>
      </w:pPr>
      <w:r w:rsidRPr="008644E5">
        <w:rPr>
          <w:rFonts w:cs="Times New Roman"/>
          <w:sz w:val="22"/>
        </w:rPr>
        <w:t>According to this thesis, one cannot be in the semantic predicament that empiricists such as Hume and Quine envisaged: understanding ordinary empirical descriptive vocabulary perfectly well, but having thereby no grip at all on what is expressed by modal vocabulary.</w:t>
      </w:r>
    </w:p>
    <w:p w14:paraId="03C73DDB" w14:textId="77777777" w:rsidR="00A454E9" w:rsidRDefault="00A454E9" w:rsidP="00CA6990">
      <w:pPr>
        <w:ind w:right="720"/>
        <w:rPr>
          <w:rFonts w:cs="Times New Roman"/>
          <w:sz w:val="22"/>
        </w:rPr>
      </w:pPr>
    </w:p>
    <w:p w14:paraId="754DE773" w14:textId="1506D4A5" w:rsidR="00B622F7" w:rsidRPr="008644E5" w:rsidRDefault="00A454E9" w:rsidP="00CA6990">
      <w:pPr>
        <w:ind w:right="720"/>
        <w:rPr>
          <w:rFonts w:cs="Times New Roman"/>
          <w:sz w:val="22"/>
        </w:rPr>
      </w:pPr>
      <w:r>
        <w:rPr>
          <w:rFonts w:cs="Times New Roman"/>
          <w:sz w:val="22"/>
          <w:u w:val="single"/>
        </w:rPr>
        <w:t>Two senses of “description”</w:t>
      </w:r>
      <w:r w:rsidRPr="00A454E9">
        <w:rPr>
          <w:rFonts w:cs="Times New Roman"/>
          <w:sz w:val="22"/>
        </w:rPr>
        <w:t>:</w:t>
      </w:r>
      <w:r w:rsidR="00D24C0C" w:rsidRPr="008644E5">
        <w:rPr>
          <w:rFonts w:cs="Times New Roman"/>
          <w:sz w:val="22"/>
        </w:rPr>
        <w:t xml:space="preserve"> </w:t>
      </w:r>
    </w:p>
    <w:p w14:paraId="68DA06A8" w14:textId="222CD3B8" w:rsidR="00230D8D" w:rsidRPr="008644E5" w:rsidRDefault="00E826F3" w:rsidP="00230D8D">
      <w:pPr>
        <w:rPr>
          <w:rFonts w:cs="Times New Roman"/>
          <w:sz w:val="22"/>
        </w:rPr>
      </w:pPr>
      <w:r w:rsidRPr="008644E5">
        <w:rPr>
          <w:rFonts w:cs="Times New Roman"/>
          <w:sz w:val="22"/>
        </w:rPr>
        <w:t xml:space="preserve">There is a </w:t>
      </w:r>
      <w:r w:rsidRPr="00085368">
        <w:rPr>
          <w:rFonts w:cs="Times New Roman"/>
          <w:i/>
          <w:sz w:val="22"/>
        </w:rPr>
        <w:t>wide</w:t>
      </w:r>
      <w:r w:rsidRPr="008644E5">
        <w:rPr>
          <w:rFonts w:cs="Times New Roman"/>
          <w:sz w:val="22"/>
        </w:rPr>
        <w:t xml:space="preserve"> sense of “description” defined by </w:t>
      </w:r>
      <w:r w:rsidRPr="008644E5">
        <w:rPr>
          <w:rFonts w:cs="Times New Roman"/>
          <w:i/>
          <w:sz w:val="22"/>
        </w:rPr>
        <w:t>inferentialist declarativism</w:t>
      </w:r>
      <w:r w:rsidRPr="008644E5">
        <w:rPr>
          <w:rFonts w:cs="Times New Roman"/>
          <w:sz w:val="22"/>
        </w:rPr>
        <w:t>: being assertible in the sense of being fit to serve both as a premise and as a conclusion of inferences.</w:t>
      </w:r>
    </w:p>
    <w:p w14:paraId="5A0DAA21" w14:textId="02B8DB4B" w:rsidR="00E826F3" w:rsidRPr="008644E5" w:rsidRDefault="00E826F3" w:rsidP="00230D8D">
      <w:pPr>
        <w:rPr>
          <w:rFonts w:cs="Times New Roman"/>
          <w:sz w:val="22"/>
        </w:rPr>
      </w:pPr>
      <w:r w:rsidRPr="008644E5">
        <w:rPr>
          <w:rFonts w:cs="Times New Roman"/>
          <w:sz w:val="22"/>
        </w:rPr>
        <w:t xml:space="preserve">There is a </w:t>
      </w:r>
      <w:r w:rsidRPr="00085368">
        <w:rPr>
          <w:rFonts w:cs="Times New Roman"/>
          <w:i/>
          <w:sz w:val="22"/>
        </w:rPr>
        <w:t>narrower</w:t>
      </w:r>
      <w:r w:rsidRPr="008644E5">
        <w:rPr>
          <w:rFonts w:cs="Times New Roman"/>
          <w:sz w:val="22"/>
        </w:rPr>
        <w:t xml:space="preserve"> sense of “description” defined by claims standing in relations both of epistemic tracking of and semantic government by what the claims thereby count as describing.</w:t>
      </w:r>
    </w:p>
    <w:p w14:paraId="31589E36" w14:textId="01000935" w:rsidR="001119E9" w:rsidRPr="008644E5" w:rsidRDefault="00213A9F" w:rsidP="00460BD2">
      <w:pPr>
        <w:jc w:val="center"/>
        <w:rPr>
          <w:rFonts w:cs="Times New Roman"/>
          <w:sz w:val="22"/>
        </w:rPr>
      </w:pPr>
      <w:r w:rsidRPr="008644E5">
        <w:rPr>
          <w:rFonts w:cs="Times New Roman"/>
          <w:sz w:val="22"/>
        </w:rPr>
        <w:object w:dxaOrig="8899" w:dyaOrig="11102" w14:anchorId="4A8FD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1pt;height:339.25pt" o:ole="">
            <v:imagedata r:id="rId7" o:title=""/>
          </v:shape>
          <o:OLEObject Type="Embed" ProgID="SmartDraw.2" ShapeID="_x0000_i1025" DrawAspect="Content" ObjectID="_1600064150" r:id="rId8"/>
        </w:object>
      </w:r>
    </w:p>
    <w:p w14:paraId="1B9BAF0A" w14:textId="774266F2" w:rsidR="00460BD2" w:rsidRPr="008644E5" w:rsidRDefault="00460BD2" w:rsidP="00460BD2">
      <w:pPr>
        <w:rPr>
          <w:rFonts w:cs="Times New Roman"/>
          <w:sz w:val="22"/>
        </w:rPr>
      </w:pPr>
      <w:r w:rsidRPr="008644E5">
        <w:rPr>
          <w:rFonts w:cs="Times New Roman"/>
          <w:i/>
          <w:sz w:val="22"/>
        </w:rPr>
        <w:t>Epistemic tracking</w:t>
      </w:r>
      <w:r w:rsidRPr="008644E5">
        <w:rPr>
          <w:rFonts w:cs="Times New Roman"/>
          <w:sz w:val="22"/>
        </w:rPr>
        <w:t xml:space="preserve"> (ET) is an </w:t>
      </w:r>
      <w:r w:rsidRPr="003D4F36">
        <w:rPr>
          <w:rFonts w:cs="Times New Roman"/>
          <w:i/>
          <w:sz w:val="22"/>
        </w:rPr>
        <w:t>alethic modal</w:t>
      </w:r>
      <w:r w:rsidRPr="008644E5">
        <w:rPr>
          <w:rFonts w:cs="Times New Roman"/>
          <w:sz w:val="22"/>
        </w:rPr>
        <w:t xml:space="preserve"> matter of subjunctive sensitivity: Y epistemically tracks X just in case if X </w:t>
      </w:r>
      <w:r w:rsidRPr="008644E5">
        <w:rPr>
          <w:rFonts w:cs="Times New Roman"/>
          <w:i/>
          <w:sz w:val="22"/>
        </w:rPr>
        <w:t>were</w:t>
      </w:r>
      <w:r w:rsidRPr="008644E5">
        <w:rPr>
          <w:rFonts w:cs="Times New Roman"/>
          <w:sz w:val="22"/>
        </w:rPr>
        <w:t xml:space="preserve"> different (in some specified regards), Y </w:t>
      </w:r>
      <w:r w:rsidRPr="008644E5">
        <w:rPr>
          <w:rFonts w:cs="Times New Roman"/>
          <w:i/>
          <w:sz w:val="22"/>
        </w:rPr>
        <w:t>would</w:t>
      </w:r>
      <w:r w:rsidRPr="008644E5">
        <w:rPr>
          <w:rFonts w:cs="Times New Roman"/>
          <w:sz w:val="22"/>
        </w:rPr>
        <w:t xml:space="preserve"> be different (in some specified regards).</w:t>
      </w:r>
    </w:p>
    <w:p w14:paraId="69DE7E97" w14:textId="77777777" w:rsidR="009F75F1" w:rsidRPr="008644E5" w:rsidRDefault="00460BD2" w:rsidP="00460BD2">
      <w:pPr>
        <w:rPr>
          <w:rFonts w:cs="Times New Roman"/>
          <w:sz w:val="22"/>
        </w:rPr>
      </w:pPr>
      <w:r w:rsidRPr="008644E5">
        <w:rPr>
          <w:rFonts w:cs="Times New Roman"/>
          <w:i/>
          <w:sz w:val="22"/>
        </w:rPr>
        <w:t>Semantic government</w:t>
      </w:r>
      <w:r w:rsidRPr="008644E5">
        <w:rPr>
          <w:rFonts w:cs="Times New Roman"/>
          <w:sz w:val="22"/>
        </w:rPr>
        <w:t xml:space="preserve"> (SG) is a </w:t>
      </w:r>
      <w:r w:rsidRPr="003D4F36">
        <w:rPr>
          <w:rFonts w:cs="Times New Roman"/>
          <w:i/>
          <w:sz w:val="22"/>
        </w:rPr>
        <w:t>deontic normative</w:t>
      </w:r>
      <w:r w:rsidRPr="008644E5">
        <w:rPr>
          <w:rFonts w:cs="Times New Roman"/>
          <w:sz w:val="22"/>
        </w:rPr>
        <w:t xml:space="preserve"> matter: X semantically governs Y iff X serves as a standard for normative assessment of correctness of Y</w:t>
      </w:r>
      <w:r w:rsidR="00497096" w:rsidRPr="008644E5">
        <w:rPr>
          <w:rFonts w:cs="Times New Roman"/>
          <w:sz w:val="22"/>
        </w:rPr>
        <w:t>—how it is with X (in some specified regards) determines the correctness of Y (in some specified regards).</w:t>
      </w:r>
    </w:p>
    <w:p w14:paraId="4D5B6C3A" w14:textId="544CCF8E" w:rsidR="00460BD2" w:rsidRPr="008644E5" w:rsidRDefault="009F75F1" w:rsidP="00460BD2">
      <w:pPr>
        <w:rPr>
          <w:rFonts w:cs="Times New Roman"/>
          <w:sz w:val="22"/>
        </w:rPr>
      </w:pPr>
      <w:r w:rsidRPr="008644E5">
        <w:rPr>
          <w:rFonts w:cs="Times New Roman"/>
          <w:sz w:val="22"/>
        </w:rPr>
        <w:t>Vocabulary V</w:t>
      </w:r>
      <w:r w:rsidRPr="008644E5">
        <w:rPr>
          <w:rFonts w:cs="Times New Roman"/>
          <w:sz w:val="22"/>
          <w:vertAlign w:val="subscript"/>
        </w:rPr>
        <w:t>2</w:t>
      </w:r>
      <w:r w:rsidRPr="008644E5">
        <w:rPr>
          <w:rFonts w:cs="Times New Roman"/>
          <w:sz w:val="22"/>
        </w:rPr>
        <w:t xml:space="preserve"> is </w:t>
      </w:r>
      <w:r w:rsidRPr="008644E5">
        <w:rPr>
          <w:rFonts w:cs="Times New Roman"/>
          <w:i/>
          <w:sz w:val="22"/>
        </w:rPr>
        <w:t xml:space="preserve">elaborated from </w:t>
      </w:r>
      <w:r w:rsidRPr="008644E5">
        <w:rPr>
          <w:rFonts w:cs="Times New Roman"/>
          <w:sz w:val="22"/>
        </w:rPr>
        <w:t xml:space="preserve">(L) and </w:t>
      </w:r>
      <w:r w:rsidRPr="008644E5">
        <w:rPr>
          <w:rFonts w:cs="Times New Roman"/>
          <w:i/>
          <w:sz w:val="22"/>
        </w:rPr>
        <w:t xml:space="preserve">explicative of </w:t>
      </w:r>
      <w:r w:rsidRPr="008644E5">
        <w:rPr>
          <w:rFonts w:cs="Times New Roman"/>
          <w:sz w:val="22"/>
        </w:rPr>
        <w:t>(X) V</w:t>
      </w:r>
      <w:r w:rsidRPr="008644E5">
        <w:rPr>
          <w:rFonts w:cs="Times New Roman"/>
          <w:sz w:val="22"/>
          <w:vertAlign w:val="subscript"/>
        </w:rPr>
        <w:t>1</w:t>
      </w:r>
      <w:r w:rsidRPr="008644E5">
        <w:rPr>
          <w:rFonts w:cs="Times New Roman"/>
          <w:sz w:val="22"/>
        </w:rPr>
        <w:t xml:space="preserve"> just in case the correct use of V</w:t>
      </w:r>
      <w:r w:rsidRPr="008644E5">
        <w:rPr>
          <w:rFonts w:cs="Times New Roman"/>
          <w:sz w:val="22"/>
          <w:vertAlign w:val="subscript"/>
        </w:rPr>
        <w:t>1</w:t>
      </w:r>
      <w:r w:rsidRPr="008644E5">
        <w:rPr>
          <w:rFonts w:cs="Times New Roman"/>
          <w:sz w:val="22"/>
        </w:rPr>
        <w:t xml:space="preserve"> determines</w:t>
      </w:r>
      <w:r w:rsidR="00497096" w:rsidRPr="008644E5">
        <w:rPr>
          <w:rFonts w:cs="Times New Roman"/>
          <w:sz w:val="22"/>
        </w:rPr>
        <w:t xml:space="preserve"> </w:t>
      </w:r>
      <w:r w:rsidRPr="008644E5">
        <w:rPr>
          <w:rFonts w:cs="Times New Roman"/>
          <w:sz w:val="22"/>
        </w:rPr>
        <w:t>the correct use of V</w:t>
      </w:r>
      <w:r w:rsidRPr="008644E5">
        <w:rPr>
          <w:rFonts w:cs="Times New Roman"/>
          <w:sz w:val="22"/>
          <w:vertAlign w:val="subscript"/>
        </w:rPr>
        <w:t>2</w:t>
      </w:r>
      <w:r w:rsidR="00497096" w:rsidRPr="008644E5">
        <w:rPr>
          <w:rFonts w:cs="Times New Roman"/>
          <w:sz w:val="22"/>
        </w:rPr>
        <w:t xml:space="preserve"> </w:t>
      </w:r>
      <w:r w:rsidRPr="008644E5">
        <w:rPr>
          <w:rFonts w:cs="Times New Roman"/>
          <w:sz w:val="22"/>
        </w:rPr>
        <w:t>(L) and correct uses of V</w:t>
      </w:r>
      <w:r w:rsidRPr="008644E5">
        <w:rPr>
          <w:rFonts w:cs="Times New Roman"/>
          <w:sz w:val="22"/>
          <w:vertAlign w:val="subscript"/>
        </w:rPr>
        <w:t>2</w:t>
      </w:r>
      <w:r w:rsidRPr="008644E5">
        <w:rPr>
          <w:rFonts w:cs="Times New Roman"/>
          <w:sz w:val="22"/>
        </w:rPr>
        <w:t xml:space="preserve"> </w:t>
      </w:r>
      <w:r w:rsidRPr="008644E5">
        <w:rPr>
          <w:rFonts w:cs="Times New Roman"/>
          <w:i/>
          <w:sz w:val="22"/>
        </w:rPr>
        <w:t>say</w:t>
      </w:r>
      <w:r w:rsidRPr="008644E5">
        <w:rPr>
          <w:rFonts w:cs="Times New Roman"/>
          <w:sz w:val="22"/>
        </w:rPr>
        <w:t xml:space="preserve"> how it is correct to use V</w:t>
      </w:r>
      <w:r w:rsidRPr="008644E5">
        <w:rPr>
          <w:rFonts w:cs="Times New Roman"/>
          <w:sz w:val="22"/>
          <w:vertAlign w:val="subscript"/>
        </w:rPr>
        <w:t>1</w:t>
      </w:r>
      <w:r w:rsidRPr="008644E5">
        <w:rPr>
          <w:rFonts w:cs="Times New Roman"/>
          <w:sz w:val="22"/>
        </w:rPr>
        <w:t xml:space="preserve"> (in some specified regards).  </w:t>
      </w:r>
    </w:p>
    <w:p w14:paraId="7AA0007C" w14:textId="77777777" w:rsidR="00764DEA" w:rsidRDefault="004F011D" w:rsidP="00460BD2">
      <w:pPr>
        <w:rPr>
          <w:rFonts w:cs="Times New Roman"/>
          <w:sz w:val="22"/>
        </w:rPr>
      </w:pPr>
      <w:r w:rsidRPr="008644E5">
        <w:rPr>
          <w:rFonts w:cs="Times New Roman"/>
          <w:sz w:val="22"/>
        </w:rPr>
        <w:t xml:space="preserve">The idea of the diagram above is that </w:t>
      </w:r>
      <w:r w:rsidR="00D94745" w:rsidRPr="008644E5">
        <w:rPr>
          <w:rFonts w:cs="Times New Roman"/>
          <w:sz w:val="22"/>
        </w:rPr>
        <w:t xml:space="preserve">from the fact that modal vocabulary is </w:t>
      </w:r>
    </w:p>
    <w:p w14:paraId="0F1C551B" w14:textId="4CF99485" w:rsidR="00764DEA" w:rsidRDefault="000F4FE7" w:rsidP="00764DEA">
      <w:pPr>
        <w:numPr>
          <w:ilvl w:val="0"/>
          <w:numId w:val="8"/>
        </w:numPr>
        <w:rPr>
          <w:rFonts w:cs="Times New Roman"/>
          <w:sz w:val="22"/>
        </w:rPr>
      </w:pPr>
      <w:r w:rsidRPr="008644E5">
        <w:rPr>
          <w:rFonts w:cs="Times New Roman"/>
          <w:sz w:val="22"/>
        </w:rPr>
        <w:t>elaborated from (L) the use of</w:t>
      </w:r>
      <w:r w:rsidR="00D94745" w:rsidRPr="008644E5">
        <w:rPr>
          <w:rFonts w:cs="Times New Roman"/>
          <w:sz w:val="22"/>
        </w:rPr>
        <w:t xml:space="preserve"> OED vocabulary that both epistemically tracks and is semantically governed by ordinary empirical states of affairs, which stand </w:t>
      </w:r>
      <w:r w:rsidR="004054E9" w:rsidRPr="008644E5">
        <w:rPr>
          <w:rFonts w:cs="Times New Roman"/>
          <w:sz w:val="22"/>
        </w:rPr>
        <w:t xml:space="preserve">to one another </w:t>
      </w:r>
      <w:r w:rsidR="00D94745" w:rsidRPr="008644E5">
        <w:rPr>
          <w:rFonts w:cs="Times New Roman"/>
          <w:sz w:val="22"/>
        </w:rPr>
        <w:t xml:space="preserve">in subjunctively robust </w:t>
      </w:r>
      <w:r w:rsidR="00850B30" w:rsidRPr="008644E5">
        <w:rPr>
          <w:rFonts w:cs="Times New Roman"/>
          <w:sz w:val="22"/>
        </w:rPr>
        <w:t xml:space="preserve">(prelogical, material) </w:t>
      </w:r>
      <w:r w:rsidR="00D94745" w:rsidRPr="008644E5">
        <w:rPr>
          <w:rFonts w:cs="Times New Roman"/>
          <w:sz w:val="22"/>
        </w:rPr>
        <w:t>relations of consequence and incompatibility</w:t>
      </w:r>
      <w:r w:rsidR="00850B30" w:rsidRPr="008644E5">
        <w:rPr>
          <w:rFonts w:cs="Times New Roman"/>
          <w:sz w:val="22"/>
        </w:rPr>
        <w:t>,</w:t>
      </w:r>
      <w:r w:rsidRPr="008644E5">
        <w:rPr>
          <w:rFonts w:cs="Times New Roman"/>
          <w:sz w:val="22"/>
        </w:rPr>
        <w:t xml:space="preserve"> and </w:t>
      </w:r>
    </w:p>
    <w:p w14:paraId="4AC63251" w14:textId="38FA79E5" w:rsidR="00850B30" w:rsidRPr="008644E5" w:rsidRDefault="000F4FE7" w:rsidP="00764DEA">
      <w:pPr>
        <w:numPr>
          <w:ilvl w:val="0"/>
          <w:numId w:val="8"/>
        </w:numPr>
        <w:rPr>
          <w:rFonts w:cs="Times New Roman"/>
          <w:sz w:val="22"/>
        </w:rPr>
      </w:pPr>
      <w:r w:rsidRPr="008644E5">
        <w:rPr>
          <w:rFonts w:cs="Times New Roman"/>
          <w:sz w:val="22"/>
        </w:rPr>
        <w:t xml:space="preserve">is explicative of (X) the </w:t>
      </w:r>
      <w:r w:rsidRPr="00764DEA">
        <w:rPr>
          <w:rFonts w:cs="Times New Roman"/>
          <w:i/>
          <w:sz w:val="22"/>
        </w:rPr>
        <w:t>normative</w:t>
      </w:r>
      <w:r w:rsidRPr="008644E5">
        <w:rPr>
          <w:rFonts w:cs="Times New Roman"/>
          <w:sz w:val="22"/>
        </w:rPr>
        <w:t xml:space="preserve"> relations of consequence and incompatibility that articulate the concepts expressed by OED vocabulary</w:t>
      </w:r>
      <w:r w:rsidR="00764DEA">
        <w:rPr>
          <w:rFonts w:cs="Times New Roman"/>
          <w:sz w:val="22"/>
        </w:rPr>
        <w:t>, which epistemically track and are semantically governed by the subjunctive relations of consequence and incompatibility</w:t>
      </w:r>
      <w:r w:rsidR="0048585D">
        <w:rPr>
          <w:rFonts w:cs="Times New Roman"/>
          <w:sz w:val="22"/>
        </w:rPr>
        <w:t xml:space="preserve"> between empirical states of affairs, in virtue of which they are determinate.</w:t>
      </w:r>
    </w:p>
    <w:p w14:paraId="7652CB83" w14:textId="6156674F" w:rsidR="00850B30" w:rsidRPr="008644E5" w:rsidRDefault="00D94745" w:rsidP="00764DEA">
      <w:pPr>
        <w:rPr>
          <w:rFonts w:cs="Times New Roman"/>
          <w:i/>
          <w:sz w:val="22"/>
        </w:rPr>
      </w:pPr>
      <w:r w:rsidRPr="008644E5">
        <w:rPr>
          <w:rFonts w:cs="Times New Roman"/>
          <w:i/>
          <w:sz w:val="22"/>
        </w:rPr>
        <w:t>it</w:t>
      </w:r>
      <w:r w:rsidRPr="008644E5">
        <w:rPr>
          <w:rFonts w:cs="Times New Roman"/>
          <w:sz w:val="22"/>
        </w:rPr>
        <w:t xml:space="preserve"> </w:t>
      </w:r>
      <w:r w:rsidRPr="008644E5">
        <w:rPr>
          <w:rFonts w:cs="Times New Roman"/>
          <w:i/>
          <w:sz w:val="22"/>
        </w:rPr>
        <w:t xml:space="preserve">follows that </w:t>
      </w:r>
    </w:p>
    <w:p w14:paraId="167E8DCA" w14:textId="101248F1" w:rsidR="000F4FE7" w:rsidRPr="008644E5" w:rsidRDefault="004F011D" w:rsidP="00460BD2">
      <w:pPr>
        <w:rPr>
          <w:rFonts w:cs="Times New Roman"/>
          <w:sz w:val="22"/>
        </w:rPr>
      </w:pPr>
      <w:r w:rsidRPr="008644E5">
        <w:rPr>
          <w:rFonts w:cs="Times New Roman"/>
          <w:sz w:val="22"/>
        </w:rPr>
        <w:t xml:space="preserve">modal vocabulary </w:t>
      </w:r>
      <w:r w:rsidRPr="008644E5">
        <w:rPr>
          <w:rFonts w:cs="Times New Roman"/>
          <w:i/>
          <w:sz w:val="22"/>
        </w:rPr>
        <w:t>describes</w:t>
      </w:r>
      <w:r w:rsidRPr="008644E5">
        <w:rPr>
          <w:rFonts w:cs="Times New Roman"/>
          <w:sz w:val="22"/>
        </w:rPr>
        <w:t xml:space="preserve">, in the </w:t>
      </w:r>
      <w:r w:rsidRPr="008644E5">
        <w:rPr>
          <w:rFonts w:cs="Times New Roman"/>
          <w:i/>
          <w:sz w:val="22"/>
        </w:rPr>
        <w:t>narrow</w:t>
      </w:r>
      <w:r w:rsidRPr="008644E5">
        <w:rPr>
          <w:rFonts w:cs="Times New Roman"/>
          <w:sz w:val="22"/>
        </w:rPr>
        <w:t xml:space="preserve"> sense defined by epistemic tracking and semantic government, objective, subjunctively robust</w:t>
      </w:r>
      <w:r w:rsidR="0075370B" w:rsidRPr="008644E5">
        <w:rPr>
          <w:rFonts w:cs="Times New Roman"/>
          <w:sz w:val="22"/>
        </w:rPr>
        <w:t xml:space="preserve"> </w:t>
      </w:r>
      <w:r w:rsidRPr="008644E5">
        <w:rPr>
          <w:rFonts w:cs="Times New Roman"/>
          <w:sz w:val="22"/>
        </w:rPr>
        <w:t>relations of consequence and incompatibility of ordinary empirical properties and states of affairs</w:t>
      </w:r>
      <w:r w:rsidR="00691BF1" w:rsidRPr="008644E5">
        <w:rPr>
          <w:rFonts w:cs="Times New Roman"/>
          <w:sz w:val="22"/>
        </w:rPr>
        <w:t xml:space="preserve">. </w:t>
      </w:r>
      <w:r w:rsidR="006D7296" w:rsidRPr="008644E5">
        <w:rPr>
          <w:rFonts w:cs="Times New Roman"/>
          <w:sz w:val="22"/>
        </w:rPr>
        <w:t xml:space="preserve"> </w:t>
      </w:r>
    </w:p>
    <w:sectPr w:rsidR="000F4FE7" w:rsidRPr="008644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6C98C" w14:textId="77777777" w:rsidR="003142CE" w:rsidRDefault="003142CE" w:rsidP="00651153">
      <w:pPr>
        <w:spacing w:line="240" w:lineRule="auto"/>
      </w:pPr>
      <w:r>
        <w:separator/>
      </w:r>
    </w:p>
  </w:endnote>
  <w:endnote w:type="continuationSeparator" w:id="0">
    <w:p w14:paraId="3A0A60F2" w14:textId="77777777" w:rsidR="003142CE" w:rsidRDefault="003142CE" w:rsidP="0065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499260"/>
      <w:docPartObj>
        <w:docPartGallery w:val="Page Numbers (Bottom of Page)"/>
        <w:docPartUnique/>
      </w:docPartObj>
    </w:sdtPr>
    <w:sdtEndPr>
      <w:rPr>
        <w:noProof/>
        <w:sz w:val="20"/>
        <w:szCs w:val="20"/>
      </w:rPr>
    </w:sdtEndPr>
    <w:sdtContent>
      <w:p w14:paraId="3D509168" w14:textId="58016141" w:rsidR="009C4614" w:rsidRPr="009C4614" w:rsidRDefault="009C4614">
        <w:pPr>
          <w:pStyle w:val="Footer"/>
          <w:jc w:val="center"/>
          <w:rPr>
            <w:sz w:val="20"/>
            <w:szCs w:val="20"/>
          </w:rPr>
        </w:pPr>
        <w:r w:rsidRPr="009C4614">
          <w:rPr>
            <w:sz w:val="20"/>
            <w:szCs w:val="20"/>
          </w:rPr>
          <w:fldChar w:fldCharType="begin"/>
        </w:r>
        <w:r w:rsidRPr="009C4614">
          <w:rPr>
            <w:sz w:val="20"/>
            <w:szCs w:val="20"/>
          </w:rPr>
          <w:instrText xml:space="preserve"> PAGE   \* MERGEFORMAT </w:instrText>
        </w:r>
        <w:r w:rsidRPr="009C4614">
          <w:rPr>
            <w:sz w:val="20"/>
            <w:szCs w:val="20"/>
          </w:rPr>
          <w:fldChar w:fldCharType="separate"/>
        </w:r>
        <w:r w:rsidR="00B069CA">
          <w:rPr>
            <w:noProof/>
            <w:sz w:val="20"/>
            <w:szCs w:val="20"/>
          </w:rPr>
          <w:t>3</w:t>
        </w:r>
        <w:r w:rsidRPr="009C4614">
          <w:rPr>
            <w:noProof/>
            <w:sz w:val="20"/>
            <w:szCs w:val="20"/>
          </w:rPr>
          <w:fldChar w:fldCharType="end"/>
        </w:r>
      </w:p>
    </w:sdtContent>
  </w:sdt>
  <w:p w14:paraId="67E46D63" w14:textId="77777777" w:rsidR="00651153" w:rsidRDefault="0065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21DD2" w14:textId="77777777" w:rsidR="003142CE" w:rsidRDefault="003142CE" w:rsidP="00651153">
      <w:pPr>
        <w:spacing w:line="240" w:lineRule="auto"/>
      </w:pPr>
      <w:r>
        <w:separator/>
      </w:r>
    </w:p>
  </w:footnote>
  <w:footnote w:type="continuationSeparator" w:id="0">
    <w:p w14:paraId="2755FC90" w14:textId="77777777" w:rsidR="003142CE" w:rsidRDefault="003142CE" w:rsidP="00651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93A7" w14:textId="33E6A82C" w:rsidR="009C4614" w:rsidRPr="009C4614" w:rsidRDefault="009C4614">
    <w:pPr>
      <w:pStyle w:val="Header"/>
      <w:rPr>
        <w:sz w:val="20"/>
        <w:szCs w:val="20"/>
      </w:rPr>
    </w:pPr>
    <w:r w:rsidRPr="009C4614">
      <w:rPr>
        <w:sz w:val="20"/>
        <w:szCs w:val="20"/>
      </w:rPr>
      <w:tab/>
    </w:r>
    <w:r w:rsidRPr="009C4614">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4DF3"/>
    <w:multiLevelType w:val="hybridMultilevel"/>
    <w:tmpl w:val="634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2243"/>
    <w:multiLevelType w:val="hybridMultilevel"/>
    <w:tmpl w:val="527E0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17B9"/>
    <w:multiLevelType w:val="hybridMultilevel"/>
    <w:tmpl w:val="B01CA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37370"/>
    <w:multiLevelType w:val="hybridMultilevel"/>
    <w:tmpl w:val="0620389C"/>
    <w:lvl w:ilvl="0" w:tplc="0C28C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303D6"/>
    <w:multiLevelType w:val="hybridMultilevel"/>
    <w:tmpl w:val="09820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45035"/>
    <w:multiLevelType w:val="hybridMultilevel"/>
    <w:tmpl w:val="7D22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42AC6"/>
    <w:multiLevelType w:val="hybridMultilevel"/>
    <w:tmpl w:val="22D0F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A5B11"/>
    <w:multiLevelType w:val="hybridMultilevel"/>
    <w:tmpl w:val="D30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6"/>
    <w:rsid w:val="00005984"/>
    <w:rsid w:val="00006DCB"/>
    <w:rsid w:val="0008534D"/>
    <w:rsid w:val="00085368"/>
    <w:rsid w:val="000934D9"/>
    <w:rsid w:val="000F4621"/>
    <w:rsid w:val="000F4998"/>
    <w:rsid w:val="000F4FE7"/>
    <w:rsid w:val="001119E9"/>
    <w:rsid w:val="001327EA"/>
    <w:rsid w:val="00136C16"/>
    <w:rsid w:val="00140DE1"/>
    <w:rsid w:val="00167058"/>
    <w:rsid w:val="001A5416"/>
    <w:rsid w:val="001B1295"/>
    <w:rsid w:val="001C1B62"/>
    <w:rsid w:val="001E6E53"/>
    <w:rsid w:val="001F3CF2"/>
    <w:rsid w:val="00213A9F"/>
    <w:rsid w:val="00216A98"/>
    <w:rsid w:val="00223B26"/>
    <w:rsid w:val="00230D8D"/>
    <w:rsid w:val="00230E47"/>
    <w:rsid w:val="002365C2"/>
    <w:rsid w:val="002619E7"/>
    <w:rsid w:val="00266AB7"/>
    <w:rsid w:val="00286693"/>
    <w:rsid w:val="002D766B"/>
    <w:rsid w:val="002F3047"/>
    <w:rsid w:val="00311D9C"/>
    <w:rsid w:val="003142CE"/>
    <w:rsid w:val="00323583"/>
    <w:rsid w:val="00374AF3"/>
    <w:rsid w:val="003803BB"/>
    <w:rsid w:val="003933CB"/>
    <w:rsid w:val="003C2271"/>
    <w:rsid w:val="003C5D1D"/>
    <w:rsid w:val="003D4F36"/>
    <w:rsid w:val="004054E9"/>
    <w:rsid w:val="00410DA3"/>
    <w:rsid w:val="0044617C"/>
    <w:rsid w:val="00460BD2"/>
    <w:rsid w:val="00472291"/>
    <w:rsid w:val="00474A92"/>
    <w:rsid w:val="0048585D"/>
    <w:rsid w:val="004919FD"/>
    <w:rsid w:val="00491AFE"/>
    <w:rsid w:val="00497096"/>
    <w:rsid w:val="004C4808"/>
    <w:rsid w:val="004D05B9"/>
    <w:rsid w:val="004E5C81"/>
    <w:rsid w:val="004F011D"/>
    <w:rsid w:val="00503F23"/>
    <w:rsid w:val="00504C42"/>
    <w:rsid w:val="00530545"/>
    <w:rsid w:val="005B6B4F"/>
    <w:rsid w:val="005D2CE1"/>
    <w:rsid w:val="00611AEC"/>
    <w:rsid w:val="006365A3"/>
    <w:rsid w:val="00650DDF"/>
    <w:rsid w:val="00651153"/>
    <w:rsid w:val="00691BF1"/>
    <w:rsid w:val="00696856"/>
    <w:rsid w:val="006A4249"/>
    <w:rsid w:val="006D7296"/>
    <w:rsid w:val="006E781B"/>
    <w:rsid w:val="007136BE"/>
    <w:rsid w:val="0075370B"/>
    <w:rsid w:val="00764DEA"/>
    <w:rsid w:val="00766781"/>
    <w:rsid w:val="00766A4F"/>
    <w:rsid w:val="007822D4"/>
    <w:rsid w:val="00795E43"/>
    <w:rsid w:val="007B3A27"/>
    <w:rsid w:val="007B4FE9"/>
    <w:rsid w:val="007B78A0"/>
    <w:rsid w:val="007C1918"/>
    <w:rsid w:val="007C5E22"/>
    <w:rsid w:val="007D37F4"/>
    <w:rsid w:val="00803B89"/>
    <w:rsid w:val="00803C52"/>
    <w:rsid w:val="00805C48"/>
    <w:rsid w:val="0081554F"/>
    <w:rsid w:val="0081685D"/>
    <w:rsid w:val="0082369E"/>
    <w:rsid w:val="0082400E"/>
    <w:rsid w:val="00844432"/>
    <w:rsid w:val="00850B30"/>
    <w:rsid w:val="008511F3"/>
    <w:rsid w:val="008644E5"/>
    <w:rsid w:val="008719A6"/>
    <w:rsid w:val="00875486"/>
    <w:rsid w:val="00896A46"/>
    <w:rsid w:val="008B26D4"/>
    <w:rsid w:val="008E5D0D"/>
    <w:rsid w:val="008F3B85"/>
    <w:rsid w:val="00902A63"/>
    <w:rsid w:val="0098084B"/>
    <w:rsid w:val="009943D8"/>
    <w:rsid w:val="009A10C7"/>
    <w:rsid w:val="009A6CF1"/>
    <w:rsid w:val="009C4614"/>
    <w:rsid w:val="009C7592"/>
    <w:rsid w:val="009E416A"/>
    <w:rsid w:val="009F75F1"/>
    <w:rsid w:val="00A05779"/>
    <w:rsid w:val="00A3425F"/>
    <w:rsid w:val="00A454E9"/>
    <w:rsid w:val="00A578FE"/>
    <w:rsid w:val="00A70910"/>
    <w:rsid w:val="00A72863"/>
    <w:rsid w:val="00AB1275"/>
    <w:rsid w:val="00AC2F88"/>
    <w:rsid w:val="00AD1DD2"/>
    <w:rsid w:val="00AD23FB"/>
    <w:rsid w:val="00B069CA"/>
    <w:rsid w:val="00B308EB"/>
    <w:rsid w:val="00B622F7"/>
    <w:rsid w:val="00C03102"/>
    <w:rsid w:val="00C64520"/>
    <w:rsid w:val="00C82458"/>
    <w:rsid w:val="00C95DC6"/>
    <w:rsid w:val="00CA6435"/>
    <w:rsid w:val="00CA6990"/>
    <w:rsid w:val="00CB2CC0"/>
    <w:rsid w:val="00CB3989"/>
    <w:rsid w:val="00CC36EF"/>
    <w:rsid w:val="00CE20A1"/>
    <w:rsid w:val="00D01228"/>
    <w:rsid w:val="00D24C0C"/>
    <w:rsid w:val="00D94745"/>
    <w:rsid w:val="00DA39C3"/>
    <w:rsid w:val="00DA4535"/>
    <w:rsid w:val="00DC74C4"/>
    <w:rsid w:val="00DF6157"/>
    <w:rsid w:val="00E1300E"/>
    <w:rsid w:val="00E16474"/>
    <w:rsid w:val="00E4643C"/>
    <w:rsid w:val="00E510D4"/>
    <w:rsid w:val="00E545E0"/>
    <w:rsid w:val="00E60CDB"/>
    <w:rsid w:val="00E74CB6"/>
    <w:rsid w:val="00E80E86"/>
    <w:rsid w:val="00E826F3"/>
    <w:rsid w:val="00EA6811"/>
    <w:rsid w:val="00EC55D7"/>
    <w:rsid w:val="00EE2281"/>
    <w:rsid w:val="00EF6095"/>
    <w:rsid w:val="00F44E7E"/>
    <w:rsid w:val="00F8240E"/>
    <w:rsid w:val="00F86C34"/>
    <w:rsid w:val="00FA7187"/>
    <w:rsid w:val="00FB4DAF"/>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766D"/>
  <w15:docId w15:val="{241017BB-06E4-469F-B206-4A8A54C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56"/>
    <w:pPr>
      <w:spacing w:after="0"/>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11"/>
    <w:pPr>
      <w:ind w:left="720"/>
    </w:pPr>
  </w:style>
  <w:style w:type="paragraph" w:styleId="BalloonText">
    <w:name w:val="Balloon Text"/>
    <w:basedOn w:val="Normal"/>
    <w:link w:val="BalloonTextChar"/>
    <w:uiPriority w:val="99"/>
    <w:semiHidden/>
    <w:unhideWhenUsed/>
    <w:rsid w:val="00651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53"/>
    <w:rPr>
      <w:rFonts w:ascii="Tahoma" w:eastAsiaTheme="minorEastAsia" w:hAnsi="Tahoma" w:cs="Tahoma"/>
      <w:sz w:val="16"/>
      <w:szCs w:val="16"/>
    </w:rPr>
  </w:style>
  <w:style w:type="paragraph" w:styleId="Header">
    <w:name w:val="header"/>
    <w:basedOn w:val="Normal"/>
    <w:link w:val="HeaderChar"/>
    <w:uiPriority w:val="99"/>
    <w:unhideWhenUsed/>
    <w:rsid w:val="00651153"/>
    <w:pPr>
      <w:tabs>
        <w:tab w:val="center" w:pos="4680"/>
        <w:tab w:val="right" w:pos="9360"/>
      </w:tabs>
      <w:spacing w:line="240" w:lineRule="auto"/>
    </w:pPr>
  </w:style>
  <w:style w:type="character" w:customStyle="1" w:styleId="HeaderChar">
    <w:name w:val="Header Char"/>
    <w:basedOn w:val="DefaultParagraphFont"/>
    <w:link w:val="Header"/>
    <w:uiPriority w:val="99"/>
    <w:rsid w:val="00651153"/>
    <w:rPr>
      <w:rFonts w:ascii="Times New Roman" w:eastAsiaTheme="minorEastAsia" w:hAnsi="Times New Roman"/>
      <w:sz w:val="24"/>
    </w:rPr>
  </w:style>
  <w:style w:type="paragraph" w:styleId="Footer">
    <w:name w:val="footer"/>
    <w:basedOn w:val="Normal"/>
    <w:link w:val="FooterChar"/>
    <w:uiPriority w:val="99"/>
    <w:unhideWhenUsed/>
    <w:rsid w:val="00651153"/>
    <w:pPr>
      <w:tabs>
        <w:tab w:val="center" w:pos="4680"/>
        <w:tab w:val="right" w:pos="9360"/>
      </w:tabs>
      <w:spacing w:line="240" w:lineRule="auto"/>
    </w:pPr>
  </w:style>
  <w:style w:type="character" w:customStyle="1" w:styleId="FooterChar">
    <w:name w:val="Footer Char"/>
    <w:basedOn w:val="DefaultParagraphFont"/>
    <w:link w:val="Footer"/>
    <w:uiPriority w:val="99"/>
    <w:rsid w:val="00651153"/>
    <w:rPr>
      <w:rFonts w:ascii="Times New Roman" w:eastAsiaTheme="minorEastAsia" w:hAnsi="Times New Roman"/>
      <w:sz w:val="24"/>
    </w:rPr>
  </w:style>
  <w:style w:type="character" w:styleId="Hyperlink">
    <w:name w:val="Hyperlink"/>
    <w:basedOn w:val="DefaultParagraphFont"/>
    <w:uiPriority w:val="99"/>
    <w:unhideWhenUsed/>
    <w:rsid w:val="00491AFE"/>
    <w:rPr>
      <w:color w:val="0000FF" w:themeColor="hyperlink"/>
      <w:u w:val="single"/>
    </w:rPr>
  </w:style>
  <w:style w:type="character" w:customStyle="1" w:styleId="UnresolvedMention">
    <w:name w:val="Unresolved Mention"/>
    <w:basedOn w:val="DefaultParagraphFont"/>
    <w:uiPriority w:val="99"/>
    <w:semiHidden/>
    <w:unhideWhenUsed/>
    <w:rsid w:val="00474A92"/>
    <w:rPr>
      <w:color w:val="808080"/>
      <w:shd w:val="clear" w:color="auto" w:fill="E6E6E6"/>
    </w:rPr>
  </w:style>
  <w:style w:type="paragraph" w:styleId="FootnoteText">
    <w:name w:val="footnote text"/>
    <w:basedOn w:val="Normal"/>
    <w:link w:val="FootnoteTextChar"/>
    <w:rsid w:val="00005984"/>
    <w:pPr>
      <w:spacing w:line="240" w:lineRule="auto"/>
      <w:contextualSpacing w:val="0"/>
    </w:pPr>
    <w:rPr>
      <w:rFonts w:eastAsia="Times New Roman" w:cs="Times New Roman"/>
      <w:sz w:val="20"/>
      <w:szCs w:val="20"/>
    </w:rPr>
  </w:style>
  <w:style w:type="character" w:customStyle="1" w:styleId="FootnoteTextChar">
    <w:name w:val="Footnote Text Char"/>
    <w:basedOn w:val="DefaultParagraphFont"/>
    <w:link w:val="FootnoteText"/>
    <w:semiHidden/>
    <w:rsid w:val="00005984"/>
    <w:rPr>
      <w:rFonts w:ascii="Times New Roman" w:eastAsia="Times New Roman" w:hAnsi="Times New Roman" w:cs="Times New Roman"/>
      <w:sz w:val="20"/>
      <w:szCs w:val="20"/>
    </w:rPr>
  </w:style>
  <w:style w:type="character" w:styleId="FootnoteReference">
    <w:name w:val="footnote reference"/>
    <w:rsid w:val="00005984"/>
    <w:rPr>
      <w:vertAlign w:val="superscript"/>
    </w:rPr>
  </w:style>
  <w:style w:type="paragraph" w:customStyle="1" w:styleId="Quotation">
    <w:name w:val="Quotation"/>
    <w:basedOn w:val="Normal"/>
    <w:link w:val="QuotationChar"/>
    <w:rsid w:val="001F3CF2"/>
    <w:pPr>
      <w:spacing w:line="240" w:lineRule="auto"/>
      <w:ind w:left="720" w:right="720"/>
      <w:contextualSpacing w:val="0"/>
    </w:pPr>
    <w:rPr>
      <w:rFonts w:eastAsia="Times New Roman" w:cs="Times New Roman"/>
      <w:szCs w:val="20"/>
    </w:rPr>
  </w:style>
  <w:style w:type="character" w:customStyle="1" w:styleId="QuotationChar">
    <w:name w:val="Quotation Char"/>
    <w:link w:val="Quotation"/>
    <w:locked/>
    <w:rsid w:val="001F3CF2"/>
    <w:rPr>
      <w:rFonts w:ascii="Times New Roman" w:eastAsia="Times New Roman" w:hAnsi="Times New Roman" w:cs="Times New Roman"/>
      <w:sz w:val="24"/>
      <w:szCs w:val="20"/>
    </w:rPr>
  </w:style>
  <w:style w:type="character" w:customStyle="1" w:styleId="FootnoteReference1">
    <w:name w:val="Footnote Reference1"/>
    <w:basedOn w:val="DefaultParagraphFont"/>
    <w:rsid w:val="00374AF3"/>
    <w:rPr>
      <w:rFonts w:cs="Times New Roman"/>
      <w:vertAlign w:val="superscript"/>
    </w:rPr>
  </w:style>
  <w:style w:type="character" w:customStyle="1" w:styleId="FootnoteCharacters">
    <w:name w:val="Footnote Characters"/>
    <w:rsid w:val="00374AF3"/>
  </w:style>
  <w:style w:type="character" w:styleId="Emphasis">
    <w:name w:val="Emphasis"/>
    <w:basedOn w:val="DefaultParagraphFont"/>
    <w:qFormat/>
    <w:rsid w:val="00C03102"/>
    <w:rPr>
      <w:i/>
      <w:iCs/>
    </w:rPr>
  </w:style>
  <w:style w:type="paragraph" w:styleId="Quote">
    <w:name w:val="Quote"/>
    <w:basedOn w:val="Normal"/>
    <w:link w:val="QuoteChar"/>
    <w:qFormat/>
    <w:rsid w:val="00C03102"/>
    <w:pPr>
      <w:suppressAutoHyphens/>
      <w:spacing w:line="100" w:lineRule="atLeast"/>
      <w:ind w:left="360" w:right="360"/>
      <w:contextualSpacing w:val="0"/>
    </w:pPr>
    <w:rPr>
      <w:rFonts w:eastAsia="Times New Roman" w:cs="Times New Roman"/>
      <w:kern w:val="1"/>
      <w:szCs w:val="24"/>
      <w:lang w:eastAsia="ar-SA"/>
    </w:rPr>
  </w:style>
  <w:style w:type="character" w:customStyle="1" w:styleId="QuoteChar">
    <w:name w:val="Quote Char"/>
    <w:basedOn w:val="DefaultParagraphFont"/>
    <w:link w:val="Quote"/>
    <w:rsid w:val="00C03102"/>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965">
      <w:bodyDiv w:val="1"/>
      <w:marLeft w:val="0"/>
      <w:marRight w:val="0"/>
      <w:marTop w:val="0"/>
      <w:marBottom w:val="0"/>
      <w:divBdr>
        <w:top w:val="none" w:sz="0" w:space="0" w:color="auto"/>
        <w:left w:val="none" w:sz="0" w:space="0" w:color="auto"/>
        <w:bottom w:val="none" w:sz="0" w:space="0" w:color="auto"/>
        <w:right w:val="none" w:sz="0" w:space="0" w:color="auto"/>
      </w:divBdr>
    </w:div>
    <w:div w:id="381446801">
      <w:bodyDiv w:val="1"/>
      <w:marLeft w:val="0"/>
      <w:marRight w:val="0"/>
      <w:marTop w:val="0"/>
      <w:marBottom w:val="0"/>
      <w:divBdr>
        <w:top w:val="none" w:sz="0" w:space="0" w:color="auto"/>
        <w:left w:val="none" w:sz="0" w:space="0" w:color="auto"/>
        <w:bottom w:val="none" w:sz="0" w:space="0" w:color="auto"/>
        <w:right w:val="none" w:sz="0" w:space="0" w:color="auto"/>
      </w:divBdr>
      <w:divsChild>
        <w:div w:id="629751998">
          <w:marLeft w:val="0"/>
          <w:marRight w:val="0"/>
          <w:marTop w:val="0"/>
          <w:marBottom w:val="0"/>
          <w:divBdr>
            <w:top w:val="none" w:sz="0" w:space="0" w:color="auto"/>
            <w:left w:val="none" w:sz="0" w:space="0" w:color="auto"/>
            <w:bottom w:val="none" w:sz="0" w:space="0" w:color="auto"/>
            <w:right w:val="none" w:sz="0" w:space="0" w:color="auto"/>
          </w:divBdr>
          <w:divsChild>
            <w:div w:id="1636138397">
              <w:marLeft w:val="0"/>
              <w:marRight w:val="0"/>
              <w:marTop w:val="0"/>
              <w:marBottom w:val="0"/>
              <w:divBdr>
                <w:top w:val="none" w:sz="0" w:space="0" w:color="auto"/>
                <w:left w:val="none" w:sz="0" w:space="0" w:color="auto"/>
                <w:bottom w:val="none" w:sz="0" w:space="0" w:color="auto"/>
                <w:right w:val="none" w:sz="0" w:space="0" w:color="auto"/>
              </w:divBdr>
            </w:div>
          </w:divsChild>
        </w:div>
        <w:div w:id="246234806">
          <w:marLeft w:val="0"/>
          <w:marRight w:val="0"/>
          <w:marTop w:val="0"/>
          <w:marBottom w:val="0"/>
          <w:divBdr>
            <w:top w:val="none" w:sz="0" w:space="0" w:color="auto"/>
            <w:left w:val="none" w:sz="0" w:space="0" w:color="auto"/>
            <w:bottom w:val="none" w:sz="0" w:space="0" w:color="auto"/>
            <w:right w:val="none" w:sz="0" w:space="0" w:color="auto"/>
          </w:divBdr>
        </w:div>
        <w:div w:id="619995350">
          <w:marLeft w:val="0"/>
          <w:marRight w:val="0"/>
          <w:marTop w:val="0"/>
          <w:marBottom w:val="0"/>
          <w:divBdr>
            <w:top w:val="none" w:sz="0" w:space="0" w:color="auto"/>
            <w:left w:val="none" w:sz="0" w:space="0" w:color="auto"/>
            <w:bottom w:val="none" w:sz="0" w:space="0" w:color="auto"/>
            <w:right w:val="none" w:sz="0" w:space="0" w:color="auto"/>
          </w:divBdr>
        </w:div>
      </w:divsChild>
    </w:div>
    <w:div w:id="428428277">
      <w:bodyDiv w:val="1"/>
      <w:marLeft w:val="0"/>
      <w:marRight w:val="0"/>
      <w:marTop w:val="0"/>
      <w:marBottom w:val="0"/>
      <w:divBdr>
        <w:top w:val="none" w:sz="0" w:space="0" w:color="auto"/>
        <w:left w:val="none" w:sz="0" w:space="0" w:color="auto"/>
        <w:bottom w:val="none" w:sz="0" w:space="0" w:color="auto"/>
        <w:right w:val="none" w:sz="0" w:space="0" w:color="auto"/>
      </w:divBdr>
    </w:div>
    <w:div w:id="756176721">
      <w:bodyDiv w:val="1"/>
      <w:marLeft w:val="0"/>
      <w:marRight w:val="0"/>
      <w:marTop w:val="0"/>
      <w:marBottom w:val="0"/>
      <w:divBdr>
        <w:top w:val="none" w:sz="0" w:space="0" w:color="auto"/>
        <w:left w:val="none" w:sz="0" w:space="0" w:color="auto"/>
        <w:bottom w:val="none" w:sz="0" w:space="0" w:color="auto"/>
        <w:right w:val="none" w:sz="0" w:space="0" w:color="auto"/>
      </w:divBdr>
    </w:div>
    <w:div w:id="1583181753">
      <w:bodyDiv w:val="1"/>
      <w:marLeft w:val="0"/>
      <w:marRight w:val="0"/>
      <w:marTop w:val="0"/>
      <w:marBottom w:val="0"/>
      <w:divBdr>
        <w:top w:val="none" w:sz="0" w:space="0" w:color="auto"/>
        <w:left w:val="none" w:sz="0" w:space="0" w:color="auto"/>
        <w:bottom w:val="none" w:sz="0" w:space="0" w:color="auto"/>
        <w:right w:val="none" w:sz="0" w:space="0" w:color="auto"/>
      </w:divBdr>
      <w:divsChild>
        <w:div w:id="1987124130">
          <w:marLeft w:val="0"/>
          <w:marRight w:val="0"/>
          <w:marTop w:val="0"/>
          <w:marBottom w:val="0"/>
          <w:divBdr>
            <w:top w:val="none" w:sz="0" w:space="0" w:color="auto"/>
            <w:left w:val="none" w:sz="0" w:space="0" w:color="auto"/>
            <w:bottom w:val="none" w:sz="0" w:space="0" w:color="auto"/>
            <w:right w:val="none" w:sz="0" w:space="0" w:color="auto"/>
          </w:divBdr>
        </w:div>
        <w:div w:id="2067415575">
          <w:marLeft w:val="0"/>
          <w:marRight w:val="0"/>
          <w:marTop w:val="0"/>
          <w:marBottom w:val="0"/>
          <w:divBdr>
            <w:top w:val="none" w:sz="0" w:space="0" w:color="auto"/>
            <w:left w:val="none" w:sz="0" w:space="0" w:color="auto"/>
            <w:bottom w:val="none" w:sz="0" w:space="0" w:color="auto"/>
            <w:right w:val="none" w:sz="0" w:space="0" w:color="auto"/>
          </w:divBdr>
        </w:div>
        <w:div w:id="984162558">
          <w:marLeft w:val="0"/>
          <w:marRight w:val="0"/>
          <w:marTop w:val="0"/>
          <w:marBottom w:val="0"/>
          <w:divBdr>
            <w:top w:val="none" w:sz="0" w:space="0" w:color="auto"/>
            <w:left w:val="none" w:sz="0" w:space="0" w:color="auto"/>
            <w:bottom w:val="none" w:sz="0" w:space="0" w:color="auto"/>
            <w:right w:val="none" w:sz="0" w:space="0" w:color="auto"/>
          </w:divBdr>
        </w:div>
      </w:divsChild>
    </w:div>
    <w:div w:id="1656107277">
      <w:bodyDiv w:val="1"/>
      <w:marLeft w:val="0"/>
      <w:marRight w:val="0"/>
      <w:marTop w:val="0"/>
      <w:marBottom w:val="0"/>
      <w:divBdr>
        <w:top w:val="none" w:sz="0" w:space="0" w:color="auto"/>
        <w:left w:val="none" w:sz="0" w:space="0" w:color="auto"/>
        <w:bottom w:val="none" w:sz="0" w:space="0" w:color="auto"/>
        <w:right w:val="none" w:sz="0" w:space="0" w:color="auto"/>
      </w:divBdr>
      <w:divsChild>
        <w:div w:id="1293172631">
          <w:marLeft w:val="0"/>
          <w:marRight w:val="0"/>
          <w:marTop w:val="0"/>
          <w:marBottom w:val="0"/>
          <w:divBdr>
            <w:top w:val="none" w:sz="0" w:space="0" w:color="auto"/>
            <w:left w:val="none" w:sz="0" w:space="0" w:color="auto"/>
            <w:bottom w:val="none" w:sz="0" w:space="0" w:color="auto"/>
            <w:right w:val="none" w:sz="0" w:space="0" w:color="auto"/>
          </w:divBdr>
          <w:divsChild>
            <w:div w:id="45956542">
              <w:marLeft w:val="0"/>
              <w:marRight w:val="0"/>
              <w:marTop w:val="0"/>
              <w:marBottom w:val="0"/>
              <w:divBdr>
                <w:top w:val="none" w:sz="0" w:space="0" w:color="auto"/>
                <w:left w:val="none" w:sz="0" w:space="0" w:color="auto"/>
                <w:bottom w:val="none" w:sz="0" w:space="0" w:color="auto"/>
                <w:right w:val="none" w:sz="0" w:space="0" w:color="auto"/>
              </w:divBdr>
            </w:div>
          </w:divsChild>
        </w:div>
        <w:div w:id="1147550065">
          <w:marLeft w:val="0"/>
          <w:marRight w:val="0"/>
          <w:marTop w:val="0"/>
          <w:marBottom w:val="0"/>
          <w:divBdr>
            <w:top w:val="none" w:sz="0" w:space="0" w:color="auto"/>
            <w:left w:val="none" w:sz="0" w:space="0" w:color="auto"/>
            <w:bottom w:val="none" w:sz="0" w:space="0" w:color="auto"/>
            <w:right w:val="none" w:sz="0" w:space="0" w:color="auto"/>
          </w:divBdr>
        </w:div>
        <w:div w:id="1924339880">
          <w:marLeft w:val="0"/>
          <w:marRight w:val="0"/>
          <w:marTop w:val="0"/>
          <w:marBottom w:val="0"/>
          <w:divBdr>
            <w:top w:val="none" w:sz="0" w:space="0" w:color="auto"/>
            <w:left w:val="none" w:sz="0" w:space="0" w:color="auto"/>
            <w:bottom w:val="none" w:sz="0" w:space="0" w:color="auto"/>
            <w:right w:val="none" w:sz="0" w:space="0" w:color="auto"/>
          </w:divBdr>
        </w:div>
      </w:divsChild>
    </w:div>
    <w:div w:id="1660958103">
      <w:bodyDiv w:val="1"/>
      <w:marLeft w:val="0"/>
      <w:marRight w:val="0"/>
      <w:marTop w:val="0"/>
      <w:marBottom w:val="0"/>
      <w:divBdr>
        <w:top w:val="none" w:sz="0" w:space="0" w:color="auto"/>
        <w:left w:val="none" w:sz="0" w:space="0" w:color="auto"/>
        <w:bottom w:val="none" w:sz="0" w:space="0" w:color="auto"/>
        <w:right w:val="none" w:sz="0" w:space="0" w:color="auto"/>
      </w:divBdr>
      <w:divsChild>
        <w:div w:id="618877008">
          <w:marLeft w:val="0"/>
          <w:marRight w:val="0"/>
          <w:marTop w:val="0"/>
          <w:marBottom w:val="0"/>
          <w:divBdr>
            <w:top w:val="none" w:sz="0" w:space="0" w:color="auto"/>
            <w:left w:val="none" w:sz="0" w:space="0" w:color="auto"/>
            <w:bottom w:val="none" w:sz="0" w:space="0" w:color="auto"/>
            <w:right w:val="none" w:sz="0" w:space="0" w:color="auto"/>
          </w:divBdr>
        </w:div>
        <w:div w:id="290986187">
          <w:marLeft w:val="0"/>
          <w:marRight w:val="0"/>
          <w:marTop w:val="0"/>
          <w:marBottom w:val="0"/>
          <w:divBdr>
            <w:top w:val="none" w:sz="0" w:space="0" w:color="auto"/>
            <w:left w:val="none" w:sz="0" w:space="0" w:color="auto"/>
            <w:bottom w:val="none" w:sz="0" w:space="0" w:color="auto"/>
            <w:right w:val="none" w:sz="0" w:space="0" w:color="auto"/>
          </w:divBdr>
        </w:div>
        <w:div w:id="199525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Brandom, Robert</cp:lastModifiedBy>
  <cp:revision>2</cp:revision>
  <cp:lastPrinted>2017-05-23T16:42:00Z</cp:lastPrinted>
  <dcterms:created xsi:type="dcterms:W3CDTF">2018-10-03T13:24:00Z</dcterms:created>
  <dcterms:modified xsi:type="dcterms:W3CDTF">2018-10-03T13:24:00Z</dcterms:modified>
</cp:coreProperties>
</file>